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71309576"/>
        <w:docPartObj>
          <w:docPartGallery w:val="Cover Pages"/>
          <w:docPartUnique/>
        </w:docPartObj>
      </w:sdtPr>
      <w:sdtEndPr>
        <w:rPr>
          <w:noProof/>
        </w:rPr>
      </w:sdtEndPr>
      <w:sdtContent>
        <w:p w:rsidR="001F4217" w:rsidRPr="00691E56" w:rsidRDefault="001F4217" w:rsidP="00FF46E8">
          <w:pPr>
            <w:spacing w:after="120"/>
            <w:rPr>
              <w:rFonts w:asciiTheme="majorHAnsi" w:hAnsiTheme="majorHAnsi"/>
              <w:sz w:val="40"/>
              <w:szCs w:val="40"/>
            </w:rPr>
          </w:pPr>
          <w:r w:rsidRPr="00691E56">
            <w:rPr>
              <w:rFonts w:asciiTheme="majorHAnsi" w:hAnsiTheme="majorHAnsi"/>
              <w:sz w:val="40"/>
              <w:szCs w:val="40"/>
            </w:rPr>
            <w:t>Diabetes Facts for Marion County 2016</w:t>
          </w:r>
        </w:p>
        <w:p w:rsidR="00F117FD" w:rsidRPr="005D082F" w:rsidRDefault="00F117FD" w:rsidP="00FF46E8">
          <w:pPr>
            <w:pStyle w:val="BodyText"/>
            <w:spacing w:line="276" w:lineRule="auto"/>
            <w:ind w:left="720"/>
            <w:rPr>
              <w:rFonts w:asciiTheme="minorHAnsi" w:hAnsiTheme="minorHAnsi"/>
              <w:sz w:val="22"/>
              <w:szCs w:val="22"/>
            </w:rPr>
          </w:pPr>
        </w:p>
        <w:p w:rsidR="001F4217" w:rsidRPr="001F4217" w:rsidRDefault="001F4217" w:rsidP="00FF46E8">
          <w:pPr>
            <w:pStyle w:val="Heading3"/>
            <w:spacing w:before="0" w:after="120"/>
            <w:rPr>
              <w:rFonts w:asciiTheme="minorHAnsi" w:hAnsiTheme="minorHAnsi"/>
            </w:rPr>
          </w:pPr>
          <w:r w:rsidRPr="001F4217">
            <w:rPr>
              <w:rFonts w:asciiTheme="minorHAnsi" w:hAnsiTheme="minorHAnsi"/>
            </w:rPr>
            <w:t>Prevalence: People Living with Diabetes</w:t>
          </w:r>
        </w:p>
        <w:p w:rsidR="001F4217" w:rsidRPr="004567CF" w:rsidRDefault="00CE78BA" w:rsidP="00FF46E8">
          <w:pPr>
            <w:pStyle w:val="BodyText"/>
            <w:numPr>
              <w:ilvl w:val="0"/>
              <w:numId w:val="2"/>
            </w:numPr>
            <w:spacing w:line="276" w:lineRule="auto"/>
            <w:rPr>
              <w:rFonts w:asciiTheme="minorHAnsi" w:hAnsiTheme="minorHAnsi"/>
              <w:sz w:val="22"/>
              <w:szCs w:val="22"/>
            </w:rPr>
          </w:pPr>
          <w:r w:rsidRPr="004567CF">
            <w:rPr>
              <w:rFonts w:asciiTheme="minorHAnsi" w:hAnsiTheme="minorHAnsi"/>
              <w:sz w:val="22"/>
              <w:szCs w:val="22"/>
            </w:rPr>
            <w:t>The prevalence of diabetes</w:t>
          </w:r>
          <w:r w:rsidR="004567CF" w:rsidRPr="004567CF">
            <w:rPr>
              <w:rFonts w:asciiTheme="minorHAnsi" w:hAnsiTheme="minorHAnsi"/>
              <w:sz w:val="22"/>
              <w:szCs w:val="22"/>
            </w:rPr>
            <w:t xml:space="preserve"> in Marion County increased between 2003 and </w:t>
          </w:r>
          <w:r w:rsidRPr="004567CF">
            <w:rPr>
              <w:rFonts w:asciiTheme="minorHAnsi" w:hAnsiTheme="minorHAnsi"/>
              <w:sz w:val="22"/>
              <w:szCs w:val="22"/>
            </w:rPr>
            <w:t>2014</w:t>
          </w:r>
          <w:r w:rsidR="00FE11E5" w:rsidRPr="004567CF">
            <w:rPr>
              <w:rFonts w:asciiTheme="minorHAnsi" w:hAnsiTheme="minorHAnsi"/>
              <w:sz w:val="22"/>
              <w:szCs w:val="22"/>
            </w:rPr>
            <w:t xml:space="preserve"> to 9.8</w:t>
          </w:r>
          <w:r w:rsidR="001F4217" w:rsidRPr="004567CF">
            <w:rPr>
              <w:rFonts w:asciiTheme="minorHAnsi" w:hAnsiTheme="minorHAnsi"/>
              <w:sz w:val="22"/>
              <w:szCs w:val="22"/>
            </w:rPr>
            <w:t>% of adults (</w:t>
          </w:r>
          <w:r w:rsidR="00743628">
            <w:rPr>
              <w:rFonts w:asciiTheme="minorHAnsi" w:hAnsiTheme="minorHAnsi"/>
              <w:sz w:val="22"/>
              <w:szCs w:val="22"/>
            </w:rPr>
            <w:t>over 68,000</w:t>
          </w:r>
          <w:r w:rsidR="001F4217" w:rsidRPr="004567CF">
            <w:rPr>
              <w:rFonts w:asciiTheme="minorHAnsi" w:hAnsiTheme="minorHAnsi"/>
              <w:sz w:val="22"/>
              <w:szCs w:val="22"/>
            </w:rPr>
            <w:t xml:space="preserve"> cases)</w:t>
          </w:r>
          <w:r w:rsidR="004567CF" w:rsidRPr="004567CF">
            <w:rPr>
              <w:rFonts w:asciiTheme="minorHAnsi" w:hAnsiTheme="minorHAnsi"/>
              <w:sz w:val="22"/>
              <w:szCs w:val="22"/>
            </w:rPr>
            <w:t>,</w:t>
          </w:r>
          <w:r w:rsidR="001F4217" w:rsidRPr="004567CF">
            <w:rPr>
              <w:rFonts w:asciiTheme="minorHAnsi" w:hAnsiTheme="minorHAnsi"/>
              <w:sz w:val="22"/>
              <w:szCs w:val="22"/>
            </w:rPr>
            <w:t xml:space="preserve"> but is not statistically different than national or state rates. </w:t>
          </w:r>
        </w:p>
        <w:p w:rsidR="004567CF" w:rsidRPr="00F117FD" w:rsidRDefault="004567CF" w:rsidP="00FF46E8">
          <w:pPr>
            <w:pStyle w:val="BodyText"/>
            <w:numPr>
              <w:ilvl w:val="0"/>
              <w:numId w:val="2"/>
            </w:numPr>
            <w:spacing w:line="276" w:lineRule="auto"/>
            <w:rPr>
              <w:rFonts w:asciiTheme="minorHAnsi" w:hAnsiTheme="minorHAnsi"/>
              <w:sz w:val="22"/>
              <w:szCs w:val="22"/>
            </w:rPr>
          </w:pPr>
          <w:r w:rsidRPr="004567CF">
            <w:rPr>
              <w:rFonts w:asciiTheme="minorHAnsi" w:hAnsiTheme="minorHAnsi"/>
              <w:bCs/>
              <w:iCs/>
              <w:sz w:val="22"/>
              <w:szCs w:val="22"/>
            </w:rPr>
            <w:t>In Marion County, prevalence among African Americans was 69 percent higher than Whites and almost 4 times higher than Hispanic residents during 2014</w:t>
          </w:r>
        </w:p>
        <w:p w:rsidR="00F117FD" w:rsidRPr="004567CF" w:rsidRDefault="00F117FD" w:rsidP="00FF46E8">
          <w:pPr>
            <w:pStyle w:val="BodyText"/>
            <w:ind w:left="720"/>
            <w:rPr>
              <w:rFonts w:asciiTheme="minorHAnsi" w:hAnsiTheme="minorHAnsi"/>
              <w:sz w:val="22"/>
              <w:szCs w:val="22"/>
            </w:rPr>
          </w:pPr>
        </w:p>
        <w:p w:rsidR="001F4217" w:rsidRPr="001F4217" w:rsidRDefault="001F4217" w:rsidP="00FF46E8">
          <w:pPr>
            <w:pStyle w:val="Heading3"/>
            <w:spacing w:before="0" w:after="120"/>
            <w:rPr>
              <w:rFonts w:asciiTheme="minorHAnsi" w:hAnsiTheme="minorHAnsi"/>
            </w:rPr>
          </w:pPr>
          <w:r w:rsidRPr="001F4217">
            <w:rPr>
              <w:rFonts w:asciiTheme="minorHAnsi" w:hAnsiTheme="minorHAnsi"/>
            </w:rPr>
            <w:t>Diabetes Morbidity:</w:t>
          </w:r>
        </w:p>
        <w:p w:rsidR="003F677F" w:rsidRPr="003F677F" w:rsidRDefault="00837685" w:rsidP="00FF46E8">
          <w:pPr>
            <w:pStyle w:val="BodyText"/>
            <w:numPr>
              <w:ilvl w:val="0"/>
              <w:numId w:val="2"/>
            </w:numPr>
            <w:spacing w:line="276" w:lineRule="auto"/>
            <w:rPr>
              <w:rFonts w:asciiTheme="minorHAnsi" w:hAnsiTheme="minorHAnsi"/>
              <w:color w:val="FF0000"/>
              <w:sz w:val="22"/>
              <w:szCs w:val="22"/>
            </w:rPr>
          </w:pPr>
          <w:r w:rsidRPr="003F677F">
            <w:rPr>
              <w:rFonts w:asciiTheme="minorHAnsi" w:hAnsiTheme="minorHAnsi"/>
              <w:sz w:val="22"/>
              <w:szCs w:val="22"/>
            </w:rPr>
            <w:t>Between 200</w:t>
          </w:r>
          <w:r w:rsidR="000B7E4D">
            <w:rPr>
              <w:rFonts w:asciiTheme="minorHAnsi" w:hAnsiTheme="minorHAnsi"/>
              <w:sz w:val="22"/>
              <w:szCs w:val="22"/>
            </w:rPr>
            <w:t>8 and 2013, h</w:t>
          </w:r>
          <w:r w:rsidRPr="003F677F">
            <w:rPr>
              <w:rFonts w:asciiTheme="minorHAnsi" w:hAnsiTheme="minorHAnsi"/>
              <w:sz w:val="22"/>
              <w:szCs w:val="22"/>
            </w:rPr>
            <w:t>ospital admission for diabetes mellitus increased from 195.6</w:t>
          </w:r>
          <w:r w:rsidR="001F4217" w:rsidRPr="003F677F">
            <w:rPr>
              <w:rFonts w:asciiTheme="minorHAnsi" w:hAnsiTheme="minorHAnsi"/>
              <w:sz w:val="22"/>
              <w:szCs w:val="22"/>
            </w:rPr>
            <w:t xml:space="preserve"> cases per </w:t>
          </w:r>
          <w:r w:rsidRPr="003F677F">
            <w:rPr>
              <w:rFonts w:asciiTheme="minorHAnsi" w:hAnsiTheme="minorHAnsi"/>
              <w:sz w:val="22"/>
              <w:szCs w:val="22"/>
            </w:rPr>
            <w:t>100,000 population to 214 per 100,000 population in Marion County</w:t>
          </w:r>
        </w:p>
        <w:p w:rsidR="001F4217" w:rsidRPr="003F677F" w:rsidRDefault="001F4217" w:rsidP="00FF46E8">
          <w:pPr>
            <w:pStyle w:val="BodyText"/>
            <w:numPr>
              <w:ilvl w:val="0"/>
              <w:numId w:val="2"/>
            </w:numPr>
            <w:spacing w:line="276" w:lineRule="auto"/>
            <w:rPr>
              <w:rFonts w:asciiTheme="minorHAnsi" w:hAnsiTheme="minorHAnsi"/>
              <w:sz w:val="22"/>
              <w:szCs w:val="22"/>
            </w:rPr>
          </w:pPr>
          <w:r w:rsidRPr="003F677F">
            <w:rPr>
              <w:rFonts w:asciiTheme="minorHAnsi" w:hAnsiTheme="minorHAnsi"/>
              <w:sz w:val="22"/>
              <w:szCs w:val="22"/>
            </w:rPr>
            <w:t>Marion County non-trauma lower limb amput</w:t>
          </w:r>
          <w:r w:rsidR="00837685" w:rsidRPr="003F677F">
            <w:rPr>
              <w:rFonts w:asciiTheme="minorHAnsi" w:hAnsiTheme="minorHAnsi"/>
              <w:sz w:val="22"/>
              <w:szCs w:val="22"/>
            </w:rPr>
            <w:t>ations ranged from 34.4</w:t>
          </w:r>
          <w:r w:rsidRPr="003F677F">
            <w:rPr>
              <w:rFonts w:asciiTheme="minorHAnsi" w:hAnsiTheme="minorHAnsi"/>
              <w:sz w:val="22"/>
              <w:szCs w:val="22"/>
            </w:rPr>
            <w:t xml:space="preserve"> cases per </w:t>
          </w:r>
          <w:r w:rsidR="00837685" w:rsidRPr="003F677F">
            <w:rPr>
              <w:rFonts w:asciiTheme="minorHAnsi" w:hAnsiTheme="minorHAnsi"/>
              <w:sz w:val="22"/>
              <w:szCs w:val="22"/>
            </w:rPr>
            <w:t>100,000 population (2008), to 38.1 per 100,000 (2013</w:t>
          </w:r>
          <w:r w:rsidRPr="003F677F">
            <w:rPr>
              <w:rFonts w:asciiTheme="minorHAnsi" w:hAnsiTheme="minorHAnsi"/>
              <w:sz w:val="22"/>
              <w:szCs w:val="22"/>
            </w:rPr>
            <w:t>).  Some 60% of non-trauma amputations in the nation are among persons with diabetes.</w:t>
          </w:r>
        </w:p>
        <w:p w:rsidR="00C339A0" w:rsidRPr="00C339A0" w:rsidRDefault="00C339A0" w:rsidP="00FF46E8">
          <w:pPr>
            <w:pStyle w:val="BodyText"/>
            <w:numPr>
              <w:ilvl w:val="0"/>
              <w:numId w:val="2"/>
            </w:numPr>
            <w:spacing w:line="276" w:lineRule="auto"/>
            <w:rPr>
              <w:rFonts w:asciiTheme="minorHAnsi" w:hAnsiTheme="minorHAnsi"/>
              <w:sz w:val="22"/>
              <w:szCs w:val="22"/>
            </w:rPr>
          </w:pPr>
          <w:r w:rsidRPr="00C339A0">
            <w:rPr>
              <w:rFonts w:asciiTheme="minorHAnsi" w:eastAsia="Times New Roman" w:hAnsiTheme="minorHAnsi"/>
              <w:sz w:val="22"/>
              <w:szCs w:val="22"/>
            </w:rPr>
            <w:t>In 2013, African Americans in Marion County had 48% higher rate of hospitalizations for diabetes and a 28% higher rate of lower-limb amputations than Whites in Marion County.</w:t>
          </w:r>
        </w:p>
        <w:p w:rsidR="001F4217" w:rsidRPr="003F677F" w:rsidRDefault="003F677F" w:rsidP="00FF46E8">
          <w:pPr>
            <w:pStyle w:val="BodyText"/>
            <w:numPr>
              <w:ilvl w:val="0"/>
              <w:numId w:val="2"/>
            </w:numPr>
            <w:spacing w:line="276" w:lineRule="auto"/>
            <w:rPr>
              <w:rFonts w:asciiTheme="minorHAnsi" w:hAnsiTheme="minorHAnsi"/>
              <w:sz w:val="22"/>
              <w:szCs w:val="22"/>
            </w:rPr>
          </w:pPr>
          <w:r>
            <w:rPr>
              <w:rFonts w:asciiTheme="minorHAnsi" w:hAnsiTheme="minorHAnsi"/>
              <w:sz w:val="22"/>
              <w:szCs w:val="22"/>
            </w:rPr>
            <w:t>In 2012</w:t>
          </w:r>
          <w:r w:rsidR="001F4217" w:rsidRPr="004567CF">
            <w:rPr>
              <w:rFonts w:asciiTheme="minorHAnsi" w:hAnsiTheme="minorHAnsi"/>
              <w:sz w:val="22"/>
              <w:szCs w:val="22"/>
            </w:rPr>
            <w:t>, the estimated total direct and indirect costs of diabetes</w:t>
          </w:r>
          <w:r w:rsidR="00AD500B">
            <w:rPr>
              <w:rFonts w:asciiTheme="minorHAnsi" w:hAnsiTheme="minorHAnsi"/>
              <w:sz w:val="22"/>
              <w:szCs w:val="22"/>
            </w:rPr>
            <w:t xml:space="preserve"> in the U.S. </w:t>
          </w:r>
          <w:r w:rsidR="001F4217" w:rsidRPr="004567CF">
            <w:rPr>
              <w:rFonts w:asciiTheme="minorHAnsi" w:hAnsiTheme="minorHAnsi"/>
              <w:sz w:val="22"/>
              <w:szCs w:val="22"/>
            </w:rPr>
            <w:t xml:space="preserve"> </w:t>
          </w:r>
          <w:r>
            <w:rPr>
              <w:rFonts w:asciiTheme="minorHAnsi" w:hAnsiTheme="minorHAnsi"/>
              <w:sz w:val="22"/>
              <w:szCs w:val="22"/>
            </w:rPr>
            <w:t>was $245</w:t>
          </w:r>
          <w:r w:rsidR="001F4217" w:rsidRPr="004567CF">
            <w:rPr>
              <w:rFonts w:asciiTheme="minorHAnsi" w:hAnsiTheme="minorHAnsi"/>
              <w:sz w:val="22"/>
              <w:szCs w:val="22"/>
            </w:rPr>
            <w:t xml:space="preserve"> billion</w:t>
          </w:r>
          <w:r w:rsidR="00837685">
            <w:rPr>
              <w:rFonts w:asciiTheme="minorHAnsi" w:hAnsiTheme="minorHAnsi"/>
              <w:sz w:val="22"/>
              <w:szCs w:val="22"/>
            </w:rPr>
            <w:t xml:space="preserve"> </w:t>
          </w:r>
          <w:r w:rsidRPr="003F677F">
            <w:rPr>
              <w:rFonts w:asciiTheme="minorHAnsi" w:hAnsiTheme="minorHAnsi"/>
              <w:sz w:val="22"/>
              <w:szCs w:val="22"/>
            </w:rPr>
            <w:t>including $176 billion for direct medical costs and $69 billion in reduced productivity</w:t>
          </w:r>
          <w:r w:rsidR="001F4217" w:rsidRPr="003F677F">
            <w:rPr>
              <w:rFonts w:asciiTheme="minorHAnsi" w:hAnsiTheme="minorHAnsi"/>
              <w:sz w:val="22"/>
              <w:szCs w:val="22"/>
            </w:rPr>
            <w:t>.</w:t>
          </w:r>
        </w:p>
        <w:p w:rsidR="00F117FD" w:rsidRPr="004567CF" w:rsidRDefault="00F117FD" w:rsidP="00FF46E8">
          <w:pPr>
            <w:pStyle w:val="BodyText"/>
            <w:ind w:left="720"/>
            <w:rPr>
              <w:rFonts w:asciiTheme="minorHAnsi" w:hAnsiTheme="minorHAnsi"/>
              <w:sz w:val="22"/>
              <w:szCs w:val="22"/>
            </w:rPr>
          </w:pPr>
        </w:p>
        <w:p w:rsidR="001F4217" w:rsidRPr="001F4217" w:rsidRDefault="003A771E" w:rsidP="00FF46E8">
          <w:pPr>
            <w:pStyle w:val="Heading3"/>
            <w:spacing w:before="0" w:after="120"/>
            <w:rPr>
              <w:rFonts w:asciiTheme="minorHAnsi" w:hAnsiTheme="minorHAnsi"/>
            </w:rPr>
          </w:pPr>
          <w:r>
            <w:rPr>
              <w:rFonts w:asciiTheme="minorHAnsi" w:hAnsiTheme="minorHAnsi"/>
            </w:rPr>
            <w:t>Diabetes Mortality</w:t>
          </w:r>
          <w:r w:rsidR="001F4217" w:rsidRPr="001F4217">
            <w:rPr>
              <w:rFonts w:asciiTheme="minorHAnsi" w:hAnsiTheme="minorHAnsi"/>
            </w:rPr>
            <w:t>:</w:t>
          </w:r>
        </w:p>
        <w:p w:rsidR="001F4217" w:rsidRPr="00856000" w:rsidRDefault="00856000" w:rsidP="00FF46E8">
          <w:pPr>
            <w:pStyle w:val="BodyText"/>
            <w:numPr>
              <w:ilvl w:val="0"/>
              <w:numId w:val="1"/>
            </w:numPr>
            <w:spacing w:line="276" w:lineRule="auto"/>
            <w:rPr>
              <w:rFonts w:asciiTheme="minorHAnsi" w:hAnsiTheme="minorHAnsi"/>
              <w:sz w:val="22"/>
              <w:szCs w:val="22"/>
            </w:rPr>
          </w:pPr>
          <w:r w:rsidRPr="00856000">
            <w:rPr>
              <w:rFonts w:asciiTheme="minorHAnsi" w:hAnsiTheme="minorHAnsi"/>
              <w:sz w:val="22"/>
              <w:szCs w:val="22"/>
            </w:rPr>
            <w:t>Marion County’s 2014</w:t>
          </w:r>
          <w:r w:rsidR="001F4217" w:rsidRPr="00856000">
            <w:rPr>
              <w:rFonts w:asciiTheme="minorHAnsi" w:hAnsiTheme="minorHAnsi"/>
              <w:sz w:val="22"/>
              <w:szCs w:val="22"/>
            </w:rPr>
            <w:t xml:space="preserve"> diabetes </w:t>
          </w:r>
          <w:r w:rsidRPr="00856000">
            <w:rPr>
              <w:rFonts w:asciiTheme="minorHAnsi" w:hAnsiTheme="minorHAnsi"/>
              <w:sz w:val="22"/>
              <w:szCs w:val="22"/>
            </w:rPr>
            <w:t>age-adjusted mortality rate of 19</w:t>
          </w:r>
          <w:r w:rsidR="001F4217" w:rsidRPr="00856000">
            <w:rPr>
              <w:rFonts w:asciiTheme="minorHAnsi" w:hAnsiTheme="minorHAnsi"/>
              <w:sz w:val="22"/>
              <w:szCs w:val="22"/>
            </w:rPr>
            <w:t xml:space="preserve"> deaths per 100,000 is now lower than </w:t>
          </w:r>
          <w:r w:rsidRPr="00856000">
            <w:rPr>
              <w:rFonts w:asciiTheme="minorHAnsi" w:hAnsiTheme="minorHAnsi"/>
              <w:sz w:val="22"/>
              <w:szCs w:val="22"/>
            </w:rPr>
            <w:t>the rates for Indiana (24</w:t>
          </w:r>
          <w:r w:rsidR="003A771E">
            <w:rPr>
              <w:rFonts w:asciiTheme="minorHAnsi" w:hAnsiTheme="minorHAnsi"/>
              <w:sz w:val="22"/>
              <w:szCs w:val="22"/>
            </w:rPr>
            <w:t>.4</w:t>
          </w:r>
          <w:r w:rsidRPr="00856000">
            <w:rPr>
              <w:rFonts w:asciiTheme="minorHAnsi" w:hAnsiTheme="minorHAnsi"/>
              <w:sz w:val="22"/>
              <w:szCs w:val="22"/>
            </w:rPr>
            <w:t xml:space="preserve"> per 100,000) and the </w:t>
          </w:r>
          <w:r w:rsidR="003A771E">
            <w:rPr>
              <w:rFonts w:asciiTheme="minorHAnsi" w:hAnsiTheme="minorHAnsi"/>
              <w:sz w:val="22"/>
              <w:szCs w:val="22"/>
            </w:rPr>
            <w:t>U.S. (21.2</w:t>
          </w:r>
          <w:r w:rsidRPr="00856000">
            <w:rPr>
              <w:rFonts w:asciiTheme="minorHAnsi" w:hAnsiTheme="minorHAnsi"/>
              <w:sz w:val="22"/>
              <w:szCs w:val="22"/>
            </w:rPr>
            <w:t xml:space="preserve"> per 100,000 in 2013</w:t>
          </w:r>
          <w:r w:rsidR="001F4217" w:rsidRPr="00856000">
            <w:rPr>
              <w:rFonts w:asciiTheme="minorHAnsi" w:hAnsiTheme="minorHAnsi"/>
              <w:sz w:val="22"/>
              <w:szCs w:val="22"/>
            </w:rPr>
            <w:t xml:space="preserve">). </w:t>
          </w:r>
        </w:p>
        <w:p w:rsidR="003A771E" w:rsidRDefault="003A771E" w:rsidP="00FF46E8">
          <w:pPr>
            <w:pStyle w:val="BodyText"/>
            <w:numPr>
              <w:ilvl w:val="0"/>
              <w:numId w:val="1"/>
            </w:numPr>
            <w:spacing w:line="276" w:lineRule="auto"/>
            <w:rPr>
              <w:rFonts w:asciiTheme="minorHAnsi" w:hAnsiTheme="minorHAnsi"/>
              <w:sz w:val="22"/>
              <w:szCs w:val="22"/>
            </w:rPr>
          </w:pPr>
          <w:r>
            <w:rPr>
              <w:rFonts w:asciiTheme="minorHAnsi" w:hAnsiTheme="minorHAnsi"/>
              <w:sz w:val="22"/>
              <w:szCs w:val="22"/>
            </w:rPr>
            <w:t>Despite a trend of declining mortality rates, d</w:t>
          </w:r>
          <w:r w:rsidR="001F4217" w:rsidRPr="00856000">
            <w:rPr>
              <w:rFonts w:asciiTheme="minorHAnsi" w:hAnsiTheme="minorHAnsi"/>
              <w:sz w:val="22"/>
              <w:szCs w:val="22"/>
            </w:rPr>
            <w:t xml:space="preserve">iabetes </w:t>
          </w:r>
          <w:r w:rsidR="00716723">
            <w:rPr>
              <w:rFonts w:asciiTheme="minorHAnsi" w:hAnsiTheme="minorHAnsi"/>
              <w:sz w:val="22"/>
              <w:szCs w:val="22"/>
            </w:rPr>
            <w:t>remains the 8</w:t>
          </w:r>
          <w:r w:rsidRPr="003A771E">
            <w:rPr>
              <w:rFonts w:asciiTheme="minorHAnsi" w:hAnsiTheme="minorHAnsi"/>
              <w:sz w:val="22"/>
              <w:szCs w:val="22"/>
              <w:vertAlign w:val="superscript"/>
            </w:rPr>
            <w:t>th</w:t>
          </w:r>
          <w:r>
            <w:rPr>
              <w:rFonts w:asciiTheme="minorHAnsi" w:hAnsiTheme="minorHAnsi"/>
              <w:sz w:val="22"/>
              <w:szCs w:val="22"/>
            </w:rPr>
            <w:t xml:space="preserve"> leading cause of death in Marion County (2014) and the 7</w:t>
          </w:r>
          <w:r w:rsidRPr="003A771E">
            <w:rPr>
              <w:rFonts w:asciiTheme="minorHAnsi" w:hAnsiTheme="minorHAnsi"/>
              <w:sz w:val="22"/>
              <w:szCs w:val="22"/>
              <w:vertAlign w:val="superscript"/>
            </w:rPr>
            <w:t>th</w:t>
          </w:r>
          <w:r>
            <w:rPr>
              <w:rFonts w:asciiTheme="minorHAnsi" w:hAnsiTheme="minorHAnsi"/>
              <w:sz w:val="22"/>
              <w:szCs w:val="22"/>
            </w:rPr>
            <w:t xml:space="preserve"> leading cause of death nationally (2013).</w:t>
          </w:r>
        </w:p>
        <w:p w:rsidR="001F4217" w:rsidRDefault="00F117FD" w:rsidP="00FF46E8">
          <w:pPr>
            <w:pStyle w:val="BodyText"/>
            <w:numPr>
              <w:ilvl w:val="0"/>
              <w:numId w:val="1"/>
            </w:numPr>
            <w:spacing w:line="276" w:lineRule="auto"/>
            <w:rPr>
              <w:rFonts w:asciiTheme="minorHAnsi" w:hAnsiTheme="minorHAnsi"/>
              <w:sz w:val="22"/>
              <w:szCs w:val="22"/>
            </w:rPr>
          </w:pPr>
          <w:r>
            <w:rPr>
              <w:rFonts w:asciiTheme="minorHAnsi" w:hAnsiTheme="minorHAnsi"/>
              <w:sz w:val="22"/>
              <w:szCs w:val="22"/>
            </w:rPr>
            <w:t xml:space="preserve">In 2014, African Americans were </w:t>
          </w:r>
          <w:r w:rsidR="00BE7D52">
            <w:rPr>
              <w:rFonts w:asciiTheme="minorHAnsi" w:hAnsiTheme="minorHAnsi"/>
              <w:sz w:val="22"/>
              <w:szCs w:val="22"/>
            </w:rPr>
            <w:t>3</w:t>
          </w:r>
          <w:r>
            <w:rPr>
              <w:rFonts w:asciiTheme="minorHAnsi" w:hAnsiTheme="minorHAnsi"/>
              <w:sz w:val="22"/>
              <w:szCs w:val="22"/>
            </w:rPr>
            <w:t>8% more likely than</w:t>
          </w:r>
          <w:r w:rsidR="001F4217" w:rsidRPr="00856000">
            <w:rPr>
              <w:rFonts w:asciiTheme="minorHAnsi" w:hAnsiTheme="minorHAnsi"/>
              <w:sz w:val="22"/>
              <w:szCs w:val="22"/>
            </w:rPr>
            <w:t xml:space="preserve"> Whites to die of diabetes</w:t>
          </w:r>
          <w:r>
            <w:rPr>
              <w:rFonts w:asciiTheme="minorHAnsi" w:hAnsiTheme="minorHAnsi"/>
              <w:sz w:val="22"/>
              <w:szCs w:val="22"/>
            </w:rPr>
            <w:t xml:space="preserve"> (23 per 100,000 versus 16.7</w:t>
          </w:r>
          <w:r w:rsidR="001F4217" w:rsidRPr="00856000">
            <w:rPr>
              <w:rFonts w:asciiTheme="minorHAnsi" w:hAnsiTheme="minorHAnsi"/>
              <w:sz w:val="22"/>
              <w:szCs w:val="22"/>
            </w:rPr>
            <w:t xml:space="preserve"> per 100,000 for Whites</w:t>
          </w:r>
          <w:r>
            <w:rPr>
              <w:rFonts w:asciiTheme="minorHAnsi" w:hAnsiTheme="minorHAnsi"/>
              <w:sz w:val="22"/>
              <w:szCs w:val="22"/>
            </w:rPr>
            <w:t>)</w:t>
          </w:r>
          <w:r w:rsidR="001F4217" w:rsidRPr="00856000">
            <w:rPr>
              <w:rFonts w:asciiTheme="minorHAnsi" w:hAnsiTheme="minorHAnsi"/>
              <w:sz w:val="22"/>
              <w:szCs w:val="22"/>
            </w:rPr>
            <w:t>.</w:t>
          </w:r>
          <w:r>
            <w:rPr>
              <w:rFonts w:asciiTheme="minorHAnsi" w:hAnsiTheme="minorHAnsi"/>
              <w:sz w:val="22"/>
              <w:szCs w:val="22"/>
            </w:rPr>
            <w:t xml:space="preserve">  </w:t>
          </w:r>
        </w:p>
        <w:p w:rsidR="00F117FD" w:rsidRDefault="00F117FD" w:rsidP="00FF46E8">
          <w:pPr>
            <w:pStyle w:val="BodyText"/>
            <w:rPr>
              <w:rFonts w:asciiTheme="minorHAnsi" w:hAnsiTheme="minorHAnsi"/>
              <w:sz w:val="22"/>
              <w:szCs w:val="22"/>
            </w:rPr>
          </w:pPr>
        </w:p>
        <w:p w:rsidR="00CF22FF" w:rsidRDefault="00CF22FF" w:rsidP="00FF46E8">
          <w:pPr>
            <w:pStyle w:val="BodyText"/>
            <w:rPr>
              <w:rFonts w:asciiTheme="minorHAnsi" w:hAnsiTheme="minorHAnsi"/>
              <w:sz w:val="22"/>
              <w:szCs w:val="22"/>
            </w:rPr>
          </w:pPr>
        </w:p>
        <w:p w:rsidR="00125530" w:rsidRDefault="00125530" w:rsidP="00FF46E8">
          <w:pPr>
            <w:pStyle w:val="BodyText"/>
            <w:rPr>
              <w:rFonts w:asciiTheme="minorHAnsi" w:hAnsiTheme="minorHAnsi"/>
              <w:sz w:val="22"/>
              <w:szCs w:val="22"/>
            </w:rPr>
          </w:pPr>
        </w:p>
        <w:p w:rsidR="00125530" w:rsidRDefault="00125530" w:rsidP="00FF46E8">
          <w:pPr>
            <w:pStyle w:val="BodyText"/>
            <w:rPr>
              <w:rFonts w:asciiTheme="minorHAnsi" w:hAnsiTheme="minorHAnsi"/>
              <w:sz w:val="22"/>
              <w:szCs w:val="22"/>
            </w:rPr>
          </w:pPr>
        </w:p>
        <w:p w:rsidR="00125530" w:rsidRDefault="00125530" w:rsidP="00FF46E8">
          <w:pPr>
            <w:pStyle w:val="BodyText"/>
            <w:rPr>
              <w:rFonts w:asciiTheme="minorHAnsi" w:hAnsiTheme="minorHAnsi"/>
              <w:sz w:val="22"/>
              <w:szCs w:val="22"/>
            </w:rPr>
          </w:pPr>
        </w:p>
        <w:p w:rsidR="00125530" w:rsidRDefault="00125530" w:rsidP="00FF46E8">
          <w:pPr>
            <w:pStyle w:val="BodyText"/>
            <w:rPr>
              <w:rFonts w:asciiTheme="minorHAnsi" w:hAnsiTheme="minorHAnsi"/>
              <w:sz w:val="22"/>
              <w:szCs w:val="22"/>
            </w:rPr>
          </w:pPr>
        </w:p>
        <w:p w:rsidR="0017072A" w:rsidRDefault="0017072A" w:rsidP="00FF46E8">
          <w:pPr>
            <w:spacing w:after="120"/>
            <w:rPr>
              <w:rFonts w:asciiTheme="majorHAnsi" w:eastAsia="Calibri" w:hAnsiTheme="majorHAnsi" w:cs="Times New Roman"/>
              <w:b/>
              <w:i/>
              <w:sz w:val="28"/>
              <w:szCs w:val="28"/>
            </w:rPr>
          </w:pPr>
          <w:r w:rsidRPr="00C734B3">
            <w:rPr>
              <w:rFonts w:asciiTheme="majorHAnsi" w:eastAsia="Calibri" w:hAnsiTheme="majorHAnsi" w:cs="Times New Roman"/>
              <w:b/>
              <w:i/>
              <w:sz w:val="28"/>
              <w:szCs w:val="28"/>
            </w:rPr>
            <w:lastRenderedPageBreak/>
            <w:t>Lifetime Risk of</w:t>
          </w:r>
          <w:r>
            <w:rPr>
              <w:rFonts w:asciiTheme="majorHAnsi" w:eastAsia="Calibri" w:hAnsiTheme="majorHAnsi" w:cs="Times New Roman"/>
              <w:b/>
              <w:i/>
              <w:sz w:val="28"/>
              <w:szCs w:val="28"/>
            </w:rPr>
            <w:t xml:space="preserve"> Diabetes for Americans born </w:t>
          </w:r>
          <w:r w:rsidRPr="00C734B3">
            <w:rPr>
              <w:rFonts w:asciiTheme="majorHAnsi" w:eastAsia="Calibri" w:hAnsiTheme="majorHAnsi" w:cs="Times New Roman"/>
              <w:b/>
              <w:i/>
              <w:sz w:val="28"/>
              <w:szCs w:val="28"/>
            </w:rPr>
            <w:t>2000-2011: Increasing Incidence</w:t>
          </w:r>
        </w:p>
        <w:p w:rsidR="00E428F8" w:rsidRPr="00C734B3" w:rsidRDefault="00E428F8" w:rsidP="00FF46E8">
          <w:pPr>
            <w:spacing w:after="120"/>
            <w:rPr>
              <w:rFonts w:asciiTheme="majorHAnsi" w:eastAsia="Calibri" w:hAnsiTheme="majorHAnsi" w:cs="Times New Roman"/>
              <w:b/>
              <w:i/>
              <w:sz w:val="28"/>
              <w:szCs w:val="28"/>
            </w:rPr>
          </w:pPr>
        </w:p>
        <w:p w:rsidR="0017072A" w:rsidRPr="00C734B3" w:rsidRDefault="0017072A" w:rsidP="00FF46E8">
          <w:pPr>
            <w:spacing w:after="120"/>
            <w:rPr>
              <w:rFonts w:ascii="Calibri" w:eastAsia="Calibri" w:hAnsi="Calibri" w:cs="Times New Roman"/>
              <w:b/>
            </w:rPr>
          </w:pPr>
          <w:r w:rsidRPr="004D7D63">
            <w:rPr>
              <w:rFonts w:ascii="Calibri" w:eastAsia="Calibri" w:hAnsi="Calibri" w:cs="Times New Roman"/>
              <w:b/>
              <w:i/>
            </w:rPr>
            <w:t xml:space="preserve">The lifetime risk of developing diabetes from age 20 </w:t>
          </w:r>
          <w:r w:rsidR="00233001" w:rsidRPr="004D7D63">
            <w:rPr>
              <w:rFonts w:ascii="Calibri" w:eastAsia="Calibri" w:hAnsi="Calibri" w:cs="Times New Roman"/>
              <w:b/>
              <w:i/>
            </w:rPr>
            <w:t xml:space="preserve">was </w:t>
          </w:r>
          <w:r w:rsidRPr="004D7D63">
            <w:rPr>
              <w:rFonts w:ascii="Calibri" w:eastAsia="Calibri" w:hAnsi="Calibri" w:cs="Times New Roman"/>
              <w:b/>
              <w:i/>
            </w:rPr>
            <w:t xml:space="preserve">40% </w:t>
          </w:r>
          <w:r w:rsidR="00233001" w:rsidRPr="004D7D63">
            <w:rPr>
              <w:rFonts w:ascii="Calibri" w:eastAsia="Calibri" w:hAnsi="Calibri" w:cs="Times New Roman"/>
              <w:b/>
              <w:i/>
            </w:rPr>
            <w:t>among Americans born 2000-2011</w:t>
          </w:r>
          <w:r w:rsidRPr="004D7D63">
            <w:rPr>
              <w:rFonts w:ascii="Calibri" w:eastAsia="Calibri" w:hAnsi="Calibri" w:cs="Times New Roman"/>
              <w:b/>
              <w:i/>
            </w:rPr>
            <w:t>,</w:t>
          </w:r>
          <w:r w:rsidRPr="00C734B3">
            <w:rPr>
              <w:rFonts w:ascii="Calibri" w:eastAsia="Calibri" w:hAnsi="Calibri" w:cs="Times New Roman"/>
              <w:b/>
            </w:rPr>
            <w:t xml:space="preserve"> </w:t>
          </w:r>
          <w:r w:rsidRPr="00C734B3">
            <w:rPr>
              <w:rFonts w:ascii="Calibri" w:eastAsia="Calibri" w:hAnsi="Calibri" w:cs="Times New Roman"/>
            </w:rPr>
            <w:t>meaning 2 out of every 5 Americans are expected to develop Type 2 diabetes sometime during adulthood.</w:t>
          </w:r>
          <w:bookmarkStart w:id="0" w:name="_Ref451860780"/>
          <w:r>
            <w:rPr>
              <w:rStyle w:val="EndnoteReference"/>
              <w:rFonts w:ascii="Calibri" w:eastAsia="Calibri" w:hAnsi="Calibri" w:cs="Times New Roman"/>
            </w:rPr>
            <w:endnoteReference w:id="1"/>
          </w:r>
          <w:bookmarkEnd w:id="0"/>
          <w:r w:rsidRPr="00C734B3">
            <w:rPr>
              <w:rFonts w:ascii="Calibri" w:eastAsia="Calibri" w:hAnsi="Calibri" w:cs="Times New Roman"/>
            </w:rPr>
            <w:t xml:space="preserve">  This is a 13% increase in women and a 20% increase in men since the 1980s.</w:t>
          </w:r>
          <w:r w:rsidRPr="0017072A">
            <w:rPr>
              <w:rFonts w:ascii="Calibri" w:eastAsia="Calibri" w:hAnsi="Calibri" w:cs="Times New Roman"/>
              <w:vertAlign w:val="superscript"/>
            </w:rPr>
            <w:fldChar w:fldCharType="begin"/>
          </w:r>
          <w:r w:rsidRPr="0017072A">
            <w:rPr>
              <w:rFonts w:ascii="Calibri" w:eastAsia="Calibri" w:hAnsi="Calibri" w:cs="Times New Roman"/>
              <w:vertAlign w:val="superscript"/>
            </w:rPr>
            <w:instrText xml:space="preserve"> NOTEREF _Ref451860780 \h </w:instrText>
          </w:r>
          <w:r>
            <w:rPr>
              <w:rFonts w:ascii="Calibri" w:eastAsia="Calibri" w:hAnsi="Calibri" w:cs="Times New Roman"/>
              <w:vertAlign w:val="superscript"/>
            </w:rPr>
            <w:instrText xml:space="preserve"> \* MERGEFORMAT </w:instrText>
          </w:r>
          <w:r w:rsidRPr="0017072A">
            <w:rPr>
              <w:rFonts w:ascii="Calibri" w:eastAsia="Calibri" w:hAnsi="Calibri" w:cs="Times New Roman"/>
              <w:vertAlign w:val="superscript"/>
            </w:rPr>
          </w:r>
          <w:r w:rsidRPr="0017072A">
            <w:rPr>
              <w:rFonts w:ascii="Calibri" w:eastAsia="Calibri" w:hAnsi="Calibri" w:cs="Times New Roman"/>
              <w:vertAlign w:val="superscript"/>
            </w:rPr>
            <w:fldChar w:fldCharType="separate"/>
          </w:r>
          <w:r w:rsidR="006F0DB7">
            <w:rPr>
              <w:rFonts w:ascii="Calibri" w:eastAsia="Calibri" w:hAnsi="Calibri" w:cs="Times New Roman"/>
              <w:vertAlign w:val="superscript"/>
            </w:rPr>
            <w:t>1</w:t>
          </w:r>
          <w:r w:rsidRPr="0017072A">
            <w:rPr>
              <w:rFonts w:ascii="Calibri" w:eastAsia="Calibri" w:hAnsi="Calibri" w:cs="Times New Roman"/>
              <w:vertAlign w:val="superscript"/>
            </w:rPr>
            <w:fldChar w:fldCharType="end"/>
          </w:r>
          <w:r w:rsidRPr="00C734B3">
            <w:rPr>
              <w:rFonts w:ascii="Calibri" w:eastAsia="Calibri" w:hAnsi="Calibri" w:cs="Times New Roman"/>
            </w:rPr>
            <w:t xml:space="preserve"> </w:t>
          </w:r>
          <w:r w:rsidR="00662406" w:rsidRPr="00662406">
            <w:rPr>
              <w:rFonts w:ascii="Calibri" w:eastAsia="Calibri" w:hAnsi="Calibri" w:cs="Times New Roman"/>
            </w:rPr>
            <w:t>The increase of lif</w:t>
          </w:r>
          <w:r w:rsidR="00662406">
            <w:rPr>
              <w:rFonts w:ascii="Calibri" w:eastAsia="Calibri" w:hAnsi="Calibri" w:cs="Times New Roman"/>
            </w:rPr>
            <w:t>etime risk was mainly due to an</w:t>
          </w:r>
          <w:r w:rsidR="00662406" w:rsidRPr="00662406">
            <w:rPr>
              <w:rFonts w:ascii="Calibri" w:eastAsia="Calibri" w:hAnsi="Calibri" w:cs="Times New Roman"/>
            </w:rPr>
            <w:t xml:space="preserve"> increase in incidence of diagnosed diabetes as well as the decline in overall mortality of the general population.</w:t>
          </w:r>
          <w:r w:rsidR="00662406" w:rsidRPr="00662406">
            <w:rPr>
              <w:rFonts w:ascii="Calibri" w:eastAsia="Calibri" w:hAnsi="Calibri" w:cs="Times New Roman"/>
              <w:vertAlign w:val="superscript"/>
            </w:rPr>
            <w:t>1</w:t>
          </w:r>
          <w:r w:rsidR="00662406" w:rsidRPr="00662406">
            <w:rPr>
              <w:rFonts w:ascii="Calibri" w:eastAsia="Calibri" w:hAnsi="Calibri" w:cs="Times New Roman"/>
            </w:rPr>
            <w:t xml:space="preserve"> </w:t>
          </w:r>
          <w:r w:rsidR="004D7D63">
            <w:rPr>
              <w:rFonts w:ascii="Calibri" w:eastAsia="Calibri" w:hAnsi="Calibri" w:cs="Times New Roman"/>
            </w:rPr>
            <w:t>Lifetime r</w:t>
          </w:r>
          <w:r w:rsidRPr="00C734B3">
            <w:rPr>
              <w:rFonts w:ascii="Calibri" w:eastAsia="Calibri" w:hAnsi="Calibri" w:cs="Times New Roman"/>
            </w:rPr>
            <w:t>isk</w:t>
          </w:r>
          <w:r w:rsidR="00BE7D52">
            <w:rPr>
              <w:rFonts w:ascii="Calibri" w:eastAsia="Calibri" w:hAnsi="Calibri" w:cs="Times New Roman"/>
            </w:rPr>
            <w:t xml:space="preserve"> is highest among minorities</w:t>
          </w:r>
          <w:r w:rsidR="004D7D63">
            <w:rPr>
              <w:rFonts w:ascii="Calibri" w:eastAsia="Calibri" w:hAnsi="Calibri" w:cs="Times New Roman"/>
            </w:rPr>
            <w:t xml:space="preserve">.  Over 55% of non-Hispanic </w:t>
          </w:r>
          <w:r w:rsidR="00BE7D52">
            <w:rPr>
              <w:rFonts w:ascii="Calibri" w:eastAsia="Calibri" w:hAnsi="Calibri" w:cs="Times New Roman"/>
            </w:rPr>
            <w:t>B</w:t>
          </w:r>
          <w:r w:rsidR="004D7D63">
            <w:rPr>
              <w:rFonts w:ascii="Calibri" w:eastAsia="Calibri" w:hAnsi="Calibri" w:cs="Times New Roman"/>
            </w:rPr>
            <w:t>lack women and approximately 1 out of every 2 Hispanic men and women are expected to develop diabetes during their lifetime</w:t>
          </w:r>
          <w:r w:rsidRPr="00C734B3">
            <w:rPr>
              <w:rFonts w:ascii="Calibri" w:eastAsia="Calibri" w:hAnsi="Calibri" w:cs="Times New Roman"/>
            </w:rPr>
            <w:t>.</w:t>
          </w:r>
          <w:r w:rsidRPr="0017072A">
            <w:rPr>
              <w:rFonts w:ascii="Calibri" w:eastAsia="Calibri" w:hAnsi="Calibri" w:cs="Times New Roman"/>
              <w:vertAlign w:val="superscript"/>
            </w:rPr>
            <w:fldChar w:fldCharType="begin"/>
          </w:r>
          <w:r w:rsidRPr="0017072A">
            <w:rPr>
              <w:rFonts w:ascii="Calibri" w:eastAsia="Calibri" w:hAnsi="Calibri" w:cs="Times New Roman"/>
              <w:vertAlign w:val="superscript"/>
            </w:rPr>
            <w:instrText xml:space="preserve"> NOTEREF _Ref451860780 \h </w:instrText>
          </w:r>
          <w:r>
            <w:rPr>
              <w:rFonts w:ascii="Calibri" w:eastAsia="Calibri" w:hAnsi="Calibri" w:cs="Times New Roman"/>
              <w:vertAlign w:val="superscript"/>
            </w:rPr>
            <w:instrText xml:space="preserve"> \* MERGEFORMAT </w:instrText>
          </w:r>
          <w:r w:rsidRPr="0017072A">
            <w:rPr>
              <w:rFonts w:ascii="Calibri" w:eastAsia="Calibri" w:hAnsi="Calibri" w:cs="Times New Roman"/>
              <w:vertAlign w:val="superscript"/>
            </w:rPr>
          </w:r>
          <w:r w:rsidRPr="0017072A">
            <w:rPr>
              <w:rFonts w:ascii="Calibri" w:eastAsia="Calibri" w:hAnsi="Calibri" w:cs="Times New Roman"/>
              <w:vertAlign w:val="superscript"/>
            </w:rPr>
            <w:fldChar w:fldCharType="separate"/>
          </w:r>
          <w:r w:rsidR="006F0DB7">
            <w:rPr>
              <w:rFonts w:ascii="Calibri" w:eastAsia="Calibri" w:hAnsi="Calibri" w:cs="Times New Roman"/>
              <w:vertAlign w:val="superscript"/>
            </w:rPr>
            <w:t>1</w:t>
          </w:r>
          <w:r w:rsidRPr="0017072A">
            <w:rPr>
              <w:rFonts w:ascii="Calibri" w:eastAsia="Calibri" w:hAnsi="Calibri" w:cs="Times New Roman"/>
              <w:vertAlign w:val="superscript"/>
            </w:rPr>
            <w:fldChar w:fldCharType="end"/>
          </w:r>
        </w:p>
        <w:p w:rsidR="0017072A" w:rsidRPr="00C734B3" w:rsidRDefault="0017072A" w:rsidP="00FF46E8">
          <w:pPr>
            <w:spacing w:after="120"/>
            <w:jc w:val="center"/>
            <w:rPr>
              <w:rFonts w:ascii="Calibri" w:eastAsia="Calibri" w:hAnsi="Calibri" w:cs="Times New Roman"/>
              <w:b/>
              <w:u w:val="single"/>
            </w:rPr>
          </w:pPr>
          <w:r w:rsidRPr="00C734B3">
            <w:rPr>
              <w:rFonts w:ascii="Calibri" w:eastAsia="Calibri" w:hAnsi="Calibri" w:cs="Times New Roman"/>
              <w:b/>
              <w:u w:val="single"/>
            </w:rPr>
            <w:t>Lifetime Risk of diagnosed diabetes, from baseline age, by time period in US adults, 1985-2011</w:t>
          </w:r>
          <w:r w:rsidRPr="0017072A">
            <w:rPr>
              <w:rFonts w:ascii="Calibri" w:eastAsia="Calibri" w:hAnsi="Calibri" w:cs="Times New Roman"/>
              <w:b/>
              <w:u w:val="single"/>
              <w:vertAlign w:val="superscript"/>
            </w:rPr>
            <w:fldChar w:fldCharType="begin"/>
          </w:r>
          <w:r w:rsidRPr="0017072A">
            <w:rPr>
              <w:rFonts w:ascii="Calibri" w:eastAsia="Calibri" w:hAnsi="Calibri" w:cs="Times New Roman"/>
              <w:b/>
              <w:u w:val="single"/>
              <w:vertAlign w:val="superscript"/>
            </w:rPr>
            <w:instrText xml:space="preserve"> NOTEREF _Ref451860780 \h </w:instrText>
          </w:r>
          <w:r>
            <w:rPr>
              <w:rFonts w:ascii="Calibri" w:eastAsia="Calibri" w:hAnsi="Calibri" w:cs="Times New Roman"/>
              <w:b/>
              <w:u w:val="single"/>
              <w:vertAlign w:val="superscript"/>
            </w:rPr>
            <w:instrText xml:space="preserve"> \* MERGEFORMAT </w:instrText>
          </w:r>
          <w:r w:rsidRPr="0017072A">
            <w:rPr>
              <w:rFonts w:ascii="Calibri" w:eastAsia="Calibri" w:hAnsi="Calibri" w:cs="Times New Roman"/>
              <w:b/>
              <w:u w:val="single"/>
              <w:vertAlign w:val="superscript"/>
            </w:rPr>
          </w:r>
          <w:r w:rsidRPr="0017072A">
            <w:rPr>
              <w:rFonts w:ascii="Calibri" w:eastAsia="Calibri" w:hAnsi="Calibri" w:cs="Times New Roman"/>
              <w:b/>
              <w:u w:val="single"/>
              <w:vertAlign w:val="superscript"/>
            </w:rPr>
            <w:fldChar w:fldCharType="separate"/>
          </w:r>
          <w:r w:rsidR="006F0DB7">
            <w:rPr>
              <w:rFonts w:ascii="Calibri" w:eastAsia="Calibri" w:hAnsi="Calibri" w:cs="Times New Roman"/>
              <w:b/>
              <w:u w:val="single"/>
              <w:vertAlign w:val="superscript"/>
            </w:rPr>
            <w:t>1</w:t>
          </w:r>
          <w:r w:rsidRPr="0017072A">
            <w:rPr>
              <w:rFonts w:ascii="Calibri" w:eastAsia="Calibri" w:hAnsi="Calibri" w:cs="Times New Roman"/>
              <w:b/>
              <w:u w:val="single"/>
              <w:vertAlign w:val="superscript"/>
            </w:rPr>
            <w:fldChar w:fldCharType="end"/>
          </w:r>
        </w:p>
        <w:p w:rsidR="0017072A" w:rsidRPr="00C734B3" w:rsidRDefault="0017072A" w:rsidP="00FF46E8">
          <w:pPr>
            <w:spacing w:after="120" w:line="240" w:lineRule="auto"/>
            <w:ind w:left="2880"/>
            <w:jc w:val="center"/>
            <w:rPr>
              <w:rFonts w:ascii="Calibri" w:eastAsia="Calibri" w:hAnsi="Calibri" w:cs="Times New Roman"/>
              <w:b/>
            </w:rPr>
          </w:pPr>
          <w:r w:rsidRPr="00C734B3">
            <w:rPr>
              <w:rFonts w:ascii="Calibri" w:eastAsia="Calibri" w:hAnsi="Calibri" w:cs="Times New Roman"/>
              <w:b/>
            </w:rPr>
            <w:t xml:space="preserve">          </w:t>
          </w:r>
          <w:r w:rsidRPr="00C734B3">
            <w:rPr>
              <w:rFonts w:ascii="Calibri" w:eastAsia="Calibri" w:hAnsi="Calibri" w:cs="Times New Roman"/>
              <w:b/>
              <w:u w:val="single"/>
            </w:rPr>
            <w:t>Male (%)</w:t>
          </w:r>
          <w:r w:rsidRPr="00C734B3">
            <w:rPr>
              <w:rFonts w:ascii="Calibri" w:eastAsia="Calibri" w:hAnsi="Calibri" w:cs="Times New Roman"/>
              <w:b/>
            </w:rPr>
            <w:tab/>
            <w:t xml:space="preserve">          </w:t>
          </w:r>
          <w:r w:rsidRPr="00C734B3">
            <w:rPr>
              <w:rFonts w:ascii="Calibri" w:eastAsia="Calibri" w:hAnsi="Calibri" w:cs="Times New Roman"/>
              <w:b/>
              <w:u w:val="single"/>
            </w:rPr>
            <w:t>Female (%)</w:t>
          </w:r>
        </w:p>
        <w:p w:rsidR="0017072A" w:rsidRPr="00C734B3" w:rsidRDefault="0017072A" w:rsidP="00FF46E8">
          <w:pPr>
            <w:spacing w:after="120" w:line="240" w:lineRule="auto"/>
            <w:jc w:val="center"/>
            <w:rPr>
              <w:rFonts w:ascii="Calibri" w:eastAsia="Calibri" w:hAnsi="Calibri" w:cs="Times New Roman"/>
              <w:b/>
            </w:rPr>
          </w:pPr>
          <w:r w:rsidRPr="00C734B3">
            <w:rPr>
              <w:rFonts w:ascii="Calibri" w:eastAsia="Calibri" w:hAnsi="Calibri" w:cs="Times New Roman"/>
              <w:b/>
            </w:rPr>
            <w:t>Overall</w:t>
          </w:r>
          <w:r w:rsidRPr="00C734B3">
            <w:rPr>
              <w:rFonts w:ascii="Calibri" w:eastAsia="Calibri" w:hAnsi="Calibri" w:cs="Times New Roman"/>
              <w:b/>
            </w:rPr>
            <w:tab/>
          </w:r>
          <w:r w:rsidRPr="00C734B3">
            <w:rPr>
              <w:rFonts w:ascii="Calibri" w:eastAsia="Calibri" w:hAnsi="Calibri" w:cs="Times New Roman"/>
              <w:b/>
            </w:rPr>
            <w:tab/>
          </w:r>
          <w:r w:rsidRPr="00C734B3">
            <w:rPr>
              <w:rFonts w:ascii="Calibri" w:eastAsia="Calibri" w:hAnsi="Calibri" w:cs="Times New Roman"/>
              <w:b/>
            </w:rPr>
            <w:tab/>
          </w:r>
          <w:r w:rsidRPr="00C734B3">
            <w:rPr>
              <w:rFonts w:ascii="Calibri" w:eastAsia="Calibri" w:hAnsi="Calibri" w:cs="Times New Roman"/>
              <w:b/>
            </w:rPr>
            <w:tab/>
            <w:t>40.2</w:t>
          </w:r>
          <w:r w:rsidRPr="00C734B3">
            <w:rPr>
              <w:rFonts w:ascii="Calibri" w:eastAsia="Calibri" w:hAnsi="Calibri" w:cs="Times New Roman"/>
              <w:b/>
            </w:rPr>
            <w:tab/>
          </w:r>
          <w:r w:rsidRPr="00C734B3">
            <w:rPr>
              <w:rFonts w:ascii="Calibri" w:eastAsia="Calibri" w:hAnsi="Calibri" w:cs="Times New Roman"/>
              <w:b/>
            </w:rPr>
            <w:tab/>
            <w:t>39.6</w:t>
          </w:r>
        </w:p>
        <w:p w:rsidR="0017072A" w:rsidRPr="00C734B3" w:rsidRDefault="0017072A" w:rsidP="00FF46E8">
          <w:pPr>
            <w:spacing w:after="120" w:line="240" w:lineRule="auto"/>
            <w:jc w:val="center"/>
            <w:rPr>
              <w:rFonts w:ascii="Calibri" w:eastAsia="Calibri" w:hAnsi="Calibri" w:cs="Times New Roman"/>
              <w:b/>
            </w:rPr>
          </w:pPr>
          <w:r w:rsidRPr="00C734B3">
            <w:rPr>
              <w:rFonts w:ascii="Calibri" w:eastAsia="Calibri" w:hAnsi="Calibri" w:cs="Times New Roman"/>
              <w:b/>
            </w:rPr>
            <w:t>White, not Hispanic</w:t>
          </w:r>
          <w:r w:rsidRPr="00C734B3">
            <w:rPr>
              <w:rFonts w:ascii="Calibri" w:eastAsia="Calibri" w:hAnsi="Calibri" w:cs="Times New Roman"/>
              <w:b/>
            </w:rPr>
            <w:tab/>
          </w:r>
          <w:r w:rsidRPr="00C734B3">
            <w:rPr>
              <w:rFonts w:ascii="Calibri" w:eastAsia="Calibri" w:hAnsi="Calibri" w:cs="Times New Roman"/>
              <w:b/>
            </w:rPr>
            <w:tab/>
            <w:t>37.0</w:t>
          </w:r>
          <w:r w:rsidRPr="00C734B3">
            <w:rPr>
              <w:rFonts w:ascii="Calibri" w:eastAsia="Calibri" w:hAnsi="Calibri" w:cs="Times New Roman"/>
              <w:b/>
            </w:rPr>
            <w:tab/>
          </w:r>
          <w:r w:rsidRPr="00C734B3">
            <w:rPr>
              <w:rFonts w:ascii="Calibri" w:eastAsia="Calibri" w:hAnsi="Calibri" w:cs="Times New Roman"/>
              <w:b/>
            </w:rPr>
            <w:tab/>
            <w:t>34.0</w:t>
          </w:r>
        </w:p>
        <w:p w:rsidR="0017072A" w:rsidRPr="00C734B3" w:rsidRDefault="0017072A" w:rsidP="00FF46E8">
          <w:pPr>
            <w:spacing w:after="120" w:line="240" w:lineRule="auto"/>
            <w:jc w:val="center"/>
            <w:rPr>
              <w:rFonts w:ascii="Calibri" w:eastAsia="Calibri" w:hAnsi="Calibri" w:cs="Times New Roman"/>
              <w:b/>
            </w:rPr>
          </w:pPr>
          <w:r w:rsidRPr="00C734B3">
            <w:rPr>
              <w:rFonts w:ascii="Calibri" w:eastAsia="Calibri" w:hAnsi="Calibri" w:cs="Times New Roman"/>
              <w:b/>
            </w:rPr>
            <w:t>Black, not Hispanic</w:t>
          </w:r>
          <w:r w:rsidRPr="00C734B3">
            <w:rPr>
              <w:rFonts w:ascii="Calibri" w:eastAsia="Calibri" w:hAnsi="Calibri" w:cs="Times New Roman"/>
              <w:b/>
            </w:rPr>
            <w:tab/>
          </w:r>
          <w:r w:rsidRPr="00C734B3">
            <w:rPr>
              <w:rFonts w:ascii="Calibri" w:eastAsia="Calibri" w:hAnsi="Calibri" w:cs="Times New Roman"/>
              <w:b/>
            </w:rPr>
            <w:tab/>
            <w:t>44.7</w:t>
          </w:r>
          <w:r w:rsidRPr="00C734B3">
            <w:rPr>
              <w:rFonts w:ascii="Calibri" w:eastAsia="Calibri" w:hAnsi="Calibri" w:cs="Times New Roman"/>
              <w:b/>
            </w:rPr>
            <w:tab/>
          </w:r>
          <w:r w:rsidRPr="00C734B3">
            <w:rPr>
              <w:rFonts w:ascii="Calibri" w:eastAsia="Calibri" w:hAnsi="Calibri" w:cs="Times New Roman"/>
              <w:b/>
            </w:rPr>
            <w:tab/>
            <w:t>55.3</w:t>
          </w:r>
        </w:p>
        <w:p w:rsidR="0017072A" w:rsidRPr="00C734B3" w:rsidRDefault="0017072A" w:rsidP="00FF46E8">
          <w:pPr>
            <w:spacing w:after="120" w:line="240" w:lineRule="auto"/>
            <w:jc w:val="center"/>
            <w:rPr>
              <w:rFonts w:ascii="Calibri" w:eastAsia="Calibri" w:hAnsi="Calibri" w:cs="Times New Roman"/>
              <w:b/>
            </w:rPr>
          </w:pPr>
          <w:r w:rsidRPr="00C734B3">
            <w:rPr>
              <w:rFonts w:ascii="Calibri" w:eastAsia="Calibri" w:hAnsi="Calibri" w:cs="Times New Roman"/>
              <w:b/>
            </w:rPr>
            <w:t>Hispanic</w:t>
          </w:r>
          <w:r w:rsidRPr="00C734B3">
            <w:rPr>
              <w:rFonts w:ascii="Calibri" w:eastAsia="Calibri" w:hAnsi="Calibri" w:cs="Times New Roman"/>
              <w:b/>
            </w:rPr>
            <w:tab/>
          </w:r>
          <w:r w:rsidRPr="00C734B3">
            <w:rPr>
              <w:rFonts w:ascii="Calibri" w:eastAsia="Calibri" w:hAnsi="Calibri" w:cs="Times New Roman"/>
              <w:b/>
            </w:rPr>
            <w:tab/>
          </w:r>
          <w:r w:rsidRPr="00C734B3">
            <w:rPr>
              <w:rFonts w:ascii="Calibri" w:eastAsia="Calibri" w:hAnsi="Calibri" w:cs="Times New Roman"/>
              <w:b/>
            </w:rPr>
            <w:tab/>
            <w:t>51.8</w:t>
          </w:r>
          <w:r w:rsidRPr="00C734B3">
            <w:rPr>
              <w:rFonts w:ascii="Calibri" w:eastAsia="Calibri" w:hAnsi="Calibri" w:cs="Times New Roman"/>
              <w:b/>
            </w:rPr>
            <w:tab/>
          </w:r>
          <w:r w:rsidRPr="00C734B3">
            <w:rPr>
              <w:rFonts w:ascii="Calibri" w:eastAsia="Calibri" w:hAnsi="Calibri" w:cs="Times New Roman"/>
              <w:b/>
            </w:rPr>
            <w:tab/>
            <w:t>51.5</w:t>
          </w:r>
        </w:p>
        <w:p w:rsidR="0017072A" w:rsidRPr="00C734B3" w:rsidRDefault="0017072A" w:rsidP="00FF46E8">
          <w:pPr>
            <w:spacing w:after="120"/>
            <w:rPr>
              <w:rFonts w:ascii="Calibri" w:eastAsia="Calibri" w:hAnsi="Calibri" w:cs="Times New Roman"/>
            </w:rPr>
          </w:pPr>
        </w:p>
        <w:p w:rsidR="00DB5939" w:rsidRDefault="00DB5939" w:rsidP="00FF46E8">
          <w:pPr>
            <w:spacing w:after="120"/>
            <w:rPr>
              <w:rFonts w:ascii="Calibri" w:eastAsia="Calibri" w:hAnsi="Calibri" w:cs="Times New Roman"/>
              <w:b/>
              <w:i/>
            </w:rPr>
          </w:pPr>
        </w:p>
        <w:p w:rsidR="0017072A" w:rsidRPr="00136EB1" w:rsidRDefault="00126D75" w:rsidP="00FF46E8">
          <w:pPr>
            <w:spacing w:after="120"/>
            <w:rPr>
              <w:rFonts w:ascii="Calibri" w:eastAsia="Calibri" w:hAnsi="Calibri" w:cs="Times New Roman"/>
            </w:rPr>
          </w:pPr>
          <w:r w:rsidRPr="00126D75">
            <w:rPr>
              <w:rFonts w:ascii="Calibri" w:eastAsia="Calibri" w:hAnsi="Calibri" w:cs="Times New Roman"/>
              <w:b/>
              <w:i/>
            </w:rPr>
            <w:t>From 1980 to 2014, the age-adjusted incidence of diagnosed diabetes among adults in the U.S. aged 18-79 years nearly doubled from</w:t>
          </w:r>
          <w:r>
            <w:rPr>
              <w:rFonts w:ascii="Calibri" w:eastAsia="Calibri" w:hAnsi="Calibri" w:cs="Times New Roman"/>
              <w:b/>
              <w:i/>
            </w:rPr>
            <w:t xml:space="preserve"> 3.5 to 6.6 per 1,000 </w:t>
          </w:r>
          <w:proofErr w:type="gramStart"/>
          <w:r>
            <w:rPr>
              <w:rFonts w:ascii="Calibri" w:eastAsia="Calibri" w:hAnsi="Calibri" w:cs="Times New Roman"/>
              <w:b/>
              <w:i/>
            </w:rPr>
            <w:t>population</w:t>
          </w:r>
          <w:bookmarkStart w:id="1" w:name="_Ref451862470"/>
          <w:proofErr w:type="gramEnd"/>
          <w:r w:rsidR="007D1D51">
            <w:rPr>
              <w:rFonts w:ascii="Calibri" w:eastAsia="Calibri" w:hAnsi="Calibri" w:cs="Times New Roman"/>
              <w:b/>
              <w:i/>
            </w:rPr>
            <w:t xml:space="preserve"> </w:t>
          </w:r>
          <w:r w:rsidR="007D1D51" w:rsidRPr="007D1D51">
            <w:rPr>
              <w:rFonts w:ascii="Calibri" w:eastAsia="Calibri" w:hAnsi="Calibri" w:cs="Times New Roman"/>
              <w:b/>
              <w:i/>
            </w:rPr>
            <w:t>(</w:t>
          </w:r>
          <w:r w:rsidR="007D1D51" w:rsidRPr="007D1D51">
            <w:rPr>
              <w:rFonts w:ascii="Calibri" w:eastAsia="Calibri" w:hAnsi="Calibri" w:cs="Times New Roman"/>
              <w:b/>
              <w:i/>
            </w:rPr>
            <w:fldChar w:fldCharType="begin"/>
          </w:r>
          <w:r w:rsidR="007D1D51" w:rsidRPr="007D1D51">
            <w:rPr>
              <w:rFonts w:ascii="Calibri" w:eastAsia="Calibri" w:hAnsi="Calibri" w:cs="Times New Roman"/>
              <w:b/>
              <w:i/>
            </w:rPr>
            <w:instrText xml:space="preserve"> REF _Ref454540996 \h </w:instrText>
          </w:r>
          <w:r w:rsidR="007D1D51" w:rsidRPr="007D1D51">
            <w:rPr>
              <w:rFonts w:ascii="Calibri" w:eastAsia="Calibri" w:hAnsi="Calibri" w:cs="Times New Roman"/>
              <w:b/>
              <w:i/>
            </w:rPr>
          </w:r>
          <w:r w:rsidR="007D1D51" w:rsidRPr="007D1D51">
            <w:rPr>
              <w:rFonts w:ascii="Calibri" w:eastAsia="Calibri" w:hAnsi="Calibri" w:cs="Times New Roman"/>
              <w:b/>
              <w:i/>
            </w:rPr>
            <w:instrText xml:space="preserve"> \* MERGEFORMAT </w:instrText>
          </w:r>
          <w:r w:rsidR="007D1D51" w:rsidRPr="007D1D51">
            <w:rPr>
              <w:rFonts w:ascii="Calibri" w:eastAsia="Calibri" w:hAnsi="Calibri" w:cs="Times New Roman"/>
              <w:b/>
              <w:i/>
            </w:rPr>
            <w:fldChar w:fldCharType="separate"/>
          </w:r>
          <w:r w:rsidR="007D1D51" w:rsidRPr="007D1D51">
            <w:rPr>
              <w:b/>
              <w:i/>
            </w:rPr>
            <w:t xml:space="preserve">Figure </w:t>
          </w:r>
          <w:r w:rsidR="007D1D51" w:rsidRPr="007D1D51">
            <w:rPr>
              <w:b/>
              <w:i/>
              <w:noProof/>
            </w:rPr>
            <w:t>1</w:t>
          </w:r>
          <w:r w:rsidR="007D1D51" w:rsidRPr="007D1D51">
            <w:rPr>
              <w:rFonts w:ascii="Calibri" w:eastAsia="Calibri" w:hAnsi="Calibri" w:cs="Times New Roman"/>
              <w:b/>
              <w:i/>
            </w:rPr>
            <w:fldChar w:fldCharType="end"/>
          </w:r>
          <w:r w:rsidR="007D1D51" w:rsidRPr="007D1D51">
            <w:rPr>
              <w:rFonts w:ascii="Calibri" w:eastAsia="Calibri" w:hAnsi="Calibri" w:cs="Times New Roman"/>
              <w:b/>
              <w:i/>
            </w:rPr>
            <w:t>)</w:t>
          </w:r>
          <w:r w:rsidR="007D1D51">
            <w:rPr>
              <w:rFonts w:ascii="Calibri" w:eastAsia="Calibri" w:hAnsi="Calibri" w:cs="Times New Roman"/>
              <w:b/>
              <w:i/>
            </w:rPr>
            <w:t>.</w:t>
          </w:r>
          <w:r w:rsidR="007D1D51">
            <w:rPr>
              <w:rFonts w:ascii="Calibri" w:eastAsia="Calibri" w:hAnsi="Calibri" w:cs="Times New Roman"/>
            </w:rPr>
            <w:t xml:space="preserve">  A</w:t>
          </w:r>
          <w:r w:rsidR="007D1D51" w:rsidRPr="007D1D51">
            <w:rPr>
              <w:rFonts w:ascii="Calibri" w:eastAsia="Calibri" w:hAnsi="Calibri" w:cs="Times New Roman"/>
            </w:rPr>
            <w:t>ge-adjusted incidence increased sharply from 3.8 to 8.5 per 1,000</w:t>
          </w:r>
          <w:r w:rsidR="007D1D51">
            <w:rPr>
              <w:rFonts w:ascii="Calibri" w:eastAsia="Calibri" w:hAnsi="Calibri" w:cs="Times New Roman"/>
            </w:rPr>
            <w:t xml:space="preserve"> from 1990 to 2008</w:t>
          </w:r>
          <w:r w:rsidR="00DB5939" w:rsidRPr="007D1D51">
            <w:rPr>
              <w:rFonts w:ascii="Calibri" w:eastAsia="Calibri" w:hAnsi="Calibri" w:cs="Times New Roman"/>
            </w:rPr>
            <w:t>.</w:t>
          </w:r>
          <w:bookmarkStart w:id="2" w:name="_Ref454456774"/>
          <w:r w:rsidR="0068774C" w:rsidRPr="00662406">
            <w:rPr>
              <w:rStyle w:val="EndnoteReference"/>
              <w:rFonts w:ascii="Calibri" w:eastAsia="Calibri" w:hAnsi="Calibri" w:cs="Times New Roman"/>
            </w:rPr>
            <w:endnoteReference w:id="2"/>
          </w:r>
          <w:bookmarkEnd w:id="1"/>
          <w:bookmarkEnd w:id="2"/>
          <w:r w:rsidR="007D1D51" w:rsidRPr="00662406">
            <w:t xml:space="preserve"> </w:t>
          </w:r>
          <w:r w:rsidR="00662406" w:rsidRPr="00662406">
            <w:t>Howe</w:t>
          </w:r>
          <w:r w:rsidR="00136EB1">
            <w:t xml:space="preserve">ver, incidence </w:t>
          </w:r>
          <w:r w:rsidR="00662406" w:rsidRPr="00662406">
            <w:t>declined significantly from 8.5 to 6.6 per 1,000 between 2008 and 2014.</w:t>
          </w:r>
          <w:r w:rsidR="00662406" w:rsidRPr="00662406">
            <w:rPr>
              <w:vertAlign w:val="superscript"/>
            </w:rPr>
            <w:fldChar w:fldCharType="begin"/>
          </w:r>
          <w:r w:rsidR="00662406" w:rsidRPr="00662406">
            <w:rPr>
              <w:vertAlign w:val="superscript"/>
            </w:rPr>
            <w:instrText xml:space="preserve"> NOTEREF _Ref454456774 \h </w:instrText>
          </w:r>
          <w:r w:rsidR="00662406">
            <w:rPr>
              <w:vertAlign w:val="superscript"/>
            </w:rPr>
            <w:instrText xml:space="preserve"> \* MERGEFORMAT </w:instrText>
          </w:r>
          <w:r w:rsidR="00662406" w:rsidRPr="00662406">
            <w:rPr>
              <w:vertAlign w:val="superscript"/>
            </w:rPr>
          </w:r>
          <w:r w:rsidR="00662406" w:rsidRPr="00662406">
            <w:rPr>
              <w:vertAlign w:val="superscript"/>
            </w:rPr>
            <w:fldChar w:fldCharType="separate"/>
          </w:r>
          <w:r w:rsidR="00662406" w:rsidRPr="00662406">
            <w:rPr>
              <w:vertAlign w:val="superscript"/>
            </w:rPr>
            <w:t>2</w:t>
          </w:r>
          <w:r w:rsidR="00662406" w:rsidRPr="00662406">
            <w:rPr>
              <w:vertAlign w:val="superscript"/>
            </w:rPr>
            <w:fldChar w:fldCharType="end"/>
          </w:r>
          <w:r w:rsidR="001765EF" w:rsidRPr="001765EF">
            <w:rPr>
              <w:rFonts w:ascii="Calibri" w:eastAsia="Calibri" w:hAnsi="Calibri" w:cs="Times New Roman"/>
            </w:rPr>
            <w:t xml:space="preserve"> </w:t>
          </w:r>
          <w:r w:rsidR="001765EF">
            <w:rPr>
              <w:rFonts w:ascii="Calibri" w:eastAsia="Calibri" w:hAnsi="Calibri" w:cs="Times New Roman"/>
            </w:rPr>
            <w:t xml:space="preserve"> </w:t>
          </w:r>
          <w:r w:rsidR="00B86382">
            <w:rPr>
              <w:rFonts w:ascii="Calibri" w:eastAsia="Calibri" w:hAnsi="Calibri" w:cs="Times New Roman"/>
            </w:rPr>
            <w:t>Diabetes incidence was</w:t>
          </w:r>
          <w:r w:rsidR="00136EB1">
            <w:rPr>
              <w:rFonts w:ascii="Calibri" w:eastAsia="Calibri" w:hAnsi="Calibri" w:cs="Times New Roman"/>
            </w:rPr>
            <w:t xml:space="preserve"> consistently lower among Whites than among Blacks or Hispanics</w:t>
          </w:r>
          <w:r w:rsidR="00B86382">
            <w:rPr>
              <w:rFonts w:ascii="Calibri" w:eastAsia="Calibri" w:hAnsi="Calibri" w:cs="Times New Roman"/>
            </w:rPr>
            <w:t xml:space="preserve"> from 1997</w:t>
          </w:r>
          <w:r w:rsidR="00C435D6">
            <w:rPr>
              <w:rFonts w:ascii="Calibri" w:eastAsia="Calibri" w:hAnsi="Calibri" w:cs="Times New Roman"/>
            </w:rPr>
            <w:t xml:space="preserve"> </w:t>
          </w:r>
          <w:r w:rsidR="00B86382">
            <w:rPr>
              <w:rFonts w:ascii="Calibri" w:eastAsia="Calibri" w:hAnsi="Calibri" w:cs="Times New Roman"/>
            </w:rPr>
            <w:t>through 2014</w:t>
          </w:r>
          <w:r w:rsidR="00B73C20">
            <w:rPr>
              <w:rFonts w:ascii="Calibri" w:eastAsia="Calibri" w:hAnsi="Calibri" w:cs="Times New Roman"/>
            </w:rPr>
            <w:t xml:space="preserve"> (</w:t>
          </w:r>
          <w:r w:rsidR="00B73C20">
            <w:rPr>
              <w:rFonts w:ascii="Calibri" w:eastAsia="Calibri" w:hAnsi="Calibri" w:cs="Times New Roman"/>
            </w:rPr>
            <w:fldChar w:fldCharType="begin"/>
          </w:r>
          <w:r w:rsidR="00B73C20">
            <w:rPr>
              <w:rFonts w:ascii="Calibri" w:eastAsia="Calibri" w:hAnsi="Calibri" w:cs="Times New Roman"/>
            </w:rPr>
            <w:instrText xml:space="preserve"> REF _Ref454541254 \h </w:instrText>
          </w:r>
          <w:r w:rsidR="00B73C20">
            <w:rPr>
              <w:rFonts w:ascii="Calibri" w:eastAsia="Calibri" w:hAnsi="Calibri" w:cs="Times New Roman"/>
            </w:rPr>
          </w:r>
          <w:r w:rsidR="00B73C20">
            <w:rPr>
              <w:rFonts w:ascii="Calibri" w:eastAsia="Calibri" w:hAnsi="Calibri" w:cs="Times New Roman"/>
            </w:rPr>
            <w:fldChar w:fldCharType="separate"/>
          </w:r>
          <w:r w:rsidR="00B73C20" w:rsidRPr="00B57672">
            <w:t xml:space="preserve">Figure </w:t>
          </w:r>
          <w:r w:rsidR="00B73C20">
            <w:rPr>
              <w:noProof/>
            </w:rPr>
            <w:t>2</w:t>
          </w:r>
          <w:r w:rsidR="00B73C20">
            <w:rPr>
              <w:rFonts w:ascii="Calibri" w:eastAsia="Calibri" w:hAnsi="Calibri" w:cs="Times New Roman"/>
            </w:rPr>
            <w:fldChar w:fldCharType="end"/>
          </w:r>
          <w:r w:rsidR="00B73C20">
            <w:rPr>
              <w:rFonts w:ascii="Calibri" w:eastAsia="Calibri" w:hAnsi="Calibri" w:cs="Times New Roman"/>
            </w:rPr>
            <w:t>)</w:t>
          </w:r>
          <w:r w:rsidR="0017072A" w:rsidRPr="00C734B3">
            <w:rPr>
              <w:rFonts w:ascii="Calibri" w:eastAsia="Calibri" w:hAnsi="Calibri" w:cs="Times New Roman"/>
            </w:rPr>
            <w:t>.</w:t>
          </w:r>
          <w:bookmarkStart w:id="3" w:name="_Ref451938769"/>
          <w:r w:rsidR="00B73C20">
            <w:rPr>
              <w:rFonts w:ascii="Calibri" w:eastAsia="Calibri" w:hAnsi="Calibri" w:cs="Times New Roman"/>
            </w:rPr>
            <w:t xml:space="preserve"> </w:t>
          </w:r>
          <w:r w:rsidR="00B73C20" w:rsidRPr="00B73C20">
            <w:rPr>
              <w:rFonts w:ascii="Calibri" w:eastAsia="Calibri" w:hAnsi="Calibri" w:cs="Times New Roman"/>
            </w:rPr>
            <w:t>In 2014, the age-adjusted incidence rate among Whites was 6.4 per 1,000 population compared to 8.4 and 8.5 per 1,000 population among Blacks and Hispanics respectively</w:t>
          </w:r>
          <w:r w:rsidR="00B73C20">
            <w:rPr>
              <w:rFonts w:ascii="Calibri" w:eastAsia="Calibri" w:hAnsi="Calibri" w:cs="Times New Roman"/>
            </w:rPr>
            <w:t xml:space="preserve">. </w:t>
          </w:r>
          <w:r w:rsidR="001765EF">
            <w:rPr>
              <w:rStyle w:val="EndnoteReference"/>
              <w:rFonts w:ascii="Calibri" w:eastAsia="Calibri" w:hAnsi="Calibri" w:cs="Times New Roman"/>
            </w:rPr>
            <w:endnoteReference w:id="3"/>
          </w:r>
          <w:bookmarkEnd w:id="3"/>
          <w:r w:rsidR="0073174A">
            <w:rPr>
              <w:rFonts w:ascii="Calibri" w:eastAsia="Calibri" w:hAnsi="Calibri" w:cs="Times New Roman"/>
            </w:rPr>
            <w:t xml:space="preserve"> </w:t>
          </w:r>
          <w:bookmarkStart w:id="4" w:name="_GoBack"/>
          <w:bookmarkEnd w:id="4"/>
          <w:r w:rsidR="00B73C20" w:rsidRPr="00136EB1">
            <w:rPr>
              <w:rFonts w:ascii="Calibri" w:eastAsia="Calibri" w:hAnsi="Calibri" w:cs="Times New Roman"/>
            </w:rPr>
            <w:t xml:space="preserve"> </w:t>
          </w:r>
        </w:p>
        <w:p w:rsidR="000B7E4D" w:rsidRDefault="000B7E4D" w:rsidP="00686E42">
          <w:pPr>
            <w:pStyle w:val="Caption"/>
            <w:spacing w:after="120"/>
            <w:jc w:val="center"/>
            <w:rPr>
              <w:color w:val="auto"/>
            </w:rPr>
          </w:pPr>
        </w:p>
        <w:p w:rsidR="000B7E4D" w:rsidRDefault="000B7E4D" w:rsidP="00686E42">
          <w:pPr>
            <w:pStyle w:val="Caption"/>
            <w:spacing w:after="120"/>
            <w:jc w:val="center"/>
            <w:rPr>
              <w:color w:val="auto"/>
            </w:rPr>
          </w:pPr>
        </w:p>
        <w:p w:rsidR="000B7E4D" w:rsidRDefault="000B7E4D" w:rsidP="00686E42">
          <w:pPr>
            <w:pStyle w:val="Caption"/>
            <w:spacing w:after="120"/>
            <w:jc w:val="center"/>
            <w:rPr>
              <w:color w:val="auto"/>
            </w:rPr>
          </w:pPr>
        </w:p>
        <w:p w:rsidR="000B7E4D" w:rsidRDefault="000B7E4D" w:rsidP="00686E42">
          <w:pPr>
            <w:pStyle w:val="Caption"/>
            <w:spacing w:after="120"/>
            <w:jc w:val="center"/>
            <w:rPr>
              <w:color w:val="auto"/>
            </w:rPr>
          </w:pPr>
        </w:p>
        <w:p w:rsidR="000B7E4D" w:rsidRDefault="000B7E4D" w:rsidP="00686E42">
          <w:pPr>
            <w:pStyle w:val="Caption"/>
            <w:spacing w:after="120"/>
            <w:jc w:val="center"/>
            <w:rPr>
              <w:color w:val="auto"/>
            </w:rPr>
          </w:pPr>
        </w:p>
        <w:p w:rsidR="000B7E4D" w:rsidRDefault="000B7E4D" w:rsidP="00686E42">
          <w:pPr>
            <w:pStyle w:val="Caption"/>
            <w:spacing w:after="120"/>
            <w:jc w:val="center"/>
            <w:rPr>
              <w:color w:val="auto"/>
            </w:rPr>
          </w:pPr>
        </w:p>
        <w:p w:rsidR="000B7E4D" w:rsidRDefault="000B7E4D" w:rsidP="00686E42">
          <w:pPr>
            <w:pStyle w:val="Caption"/>
            <w:spacing w:after="120"/>
            <w:jc w:val="center"/>
            <w:rPr>
              <w:color w:val="auto"/>
            </w:rPr>
          </w:pPr>
        </w:p>
        <w:p w:rsidR="000B7E4D" w:rsidRDefault="000B7E4D" w:rsidP="00686E42">
          <w:pPr>
            <w:pStyle w:val="Caption"/>
            <w:spacing w:after="120"/>
            <w:jc w:val="center"/>
            <w:rPr>
              <w:color w:val="auto"/>
            </w:rPr>
          </w:pPr>
        </w:p>
        <w:p w:rsidR="000B7E4D" w:rsidRDefault="000B7E4D" w:rsidP="00686E42">
          <w:pPr>
            <w:pStyle w:val="Caption"/>
            <w:spacing w:after="120"/>
            <w:jc w:val="center"/>
            <w:rPr>
              <w:color w:val="auto"/>
            </w:rPr>
          </w:pPr>
        </w:p>
        <w:p w:rsidR="000B7E4D" w:rsidRDefault="000B7E4D" w:rsidP="00686E42">
          <w:pPr>
            <w:pStyle w:val="Caption"/>
            <w:spacing w:after="120"/>
            <w:jc w:val="center"/>
            <w:rPr>
              <w:color w:val="auto"/>
            </w:rPr>
          </w:pPr>
        </w:p>
        <w:p w:rsidR="000B7E4D" w:rsidRDefault="000B7E4D" w:rsidP="00686E42">
          <w:pPr>
            <w:pStyle w:val="Caption"/>
            <w:spacing w:after="120"/>
            <w:jc w:val="center"/>
            <w:rPr>
              <w:color w:val="auto"/>
            </w:rPr>
          </w:pPr>
        </w:p>
        <w:p w:rsidR="000B7E4D" w:rsidRDefault="000B7E4D" w:rsidP="00686E42">
          <w:pPr>
            <w:pStyle w:val="Caption"/>
            <w:spacing w:after="120"/>
            <w:jc w:val="center"/>
            <w:rPr>
              <w:color w:val="auto"/>
            </w:rPr>
          </w:pPr>
        </w:p>
        <w:p w:rsidR="000B7E4D" w:rsidRDefault="000B7E4D" w:rsidP="00686E42">
          <w:pPr>
            <w:pStyle w:val="Caption"/>
            <w:spacing w:after="120"/>
            <w:jc w:val="center"/>
            <w:rPr>
              <w:color w:val="auto"/>
            </w:rPr>
          </w:pPr>
        </w:p>
        <w:p w:rsidR="00686E42" w:rsidRDefault="00233001" w:rsidP="00686E42">
          <w:pPr>
            <w:pStyle w:val="Caption"/>
            <w:spacing w:after="120"/>
            <w:jc w:val="center"/>
            <w:rPr>
              <w:color w:val="auto"/>
            </w:rPr>
          </w:pPr>
          <w:bookmarkStart w:id="5" w:name="_Ref454540996"/>
          <w:r w:rsidRPr="00233001">
            <w:rPr>
              <w:color w:val="auto"/>
            </w:rPr>
            <w:t xml:space="preserve">Figure </w:t>
          </w:r>
          <w:r w:rsidRPr="00233001">
            <w:rPr>
              <w:color w:val="auto"/>
            </w:rPr>
            <w:fldChar w:fldCharType="begin"/>
          </w:r>
          <w:r w:rsidRPr="00233001">
            <w:rPr>
              <w:color w:val="auto"/>
            </w:rPr>
            <w:instrText xml:space="preserve"> SEQ Figure \* ARABIC </w:instrText>
          </w:r>
          <w:r w:rsidRPr="00233001">
            <w:rPr>
              <w:color w:val="auto"/>
            </w:rPr>
            <w:fldChar w:fldCharType="separate"/>
          </w:r>
          <w:r w:rsidR="006F0DB7">
            <w:rPr>
              <w:noProof/>
              <w:color w:val="auto"/>
            </w:rPr>
            <w:t>1</w:t>
          </w:r>
          <w:r w:rsidRPr="00233001">
            <w:rPr>
              <w:color w:val="auto"/>
            </w:rPr>
            <w:fldChar w:fldCharType="end"/>
          </w:r>
          <w:bookmarkEnd w:id="5"/>
          <w:r w:rsidRPr="00233001">
            <w:rPr>
              <w:color w:val="auto"/>
            </w:rPr>
            <w:t xml:space="preserve">: </w:t>
          </w:r>
          <w:r w:rsidR="00DB5939">
            <w:rPr>
              <w:color w:val="auto"/>
            </w:rPr>
            <w:t xml:space="preserve">Crude and Age-Adjusted </w:t>
          </w:r>
          <w:r w:rsidRPr="00233001">
            <w:rPr>
              <w:color w:val="auto"/>
            </w:rPr>
            <w:t>Incidence o</w:t>
          </w:r>
          <w:r w:rsidR="00DB5939">
            <w:rPr>
              <w:color w:val="auto"/>
            </w:rPr>
            <w:t>f Diagnosed Diabetes per 1,000 P</w:t>
          </w:r>
          <w:r w:rsidRPr="00233001">
            <w:rPr>
              <w:color w:val="auto"/>
            </w:rPr>
            <w:t>op</w:t>
          </w:r>
          <w:r w:rsidR="00DB5939">
            <w:rPr>
              <w:color w:val="auto"/>
            </w:rPr>
            <w:t>ulation Aged 18-79 years</w:t>
          </w:r>
          <w:r w:rsidRPr="00233001">
            <w:rPr>
              <w:color w:val="auto"/>
            </w:rPr>
            <w:t>, United States, 1980-2014</w:t>
          </w:r>
        </w:p>
        <w:p w:rsidR="00686E42" w:rsidRPr="00686E42" w:rsidRDefault="00686E42" w:rsidP="00686E42"/>
        <w:p w:rsidR="0017072A" w:rsidRDefault="00DB5939" w:rsidP="00FF46E8">
          <w:pPr>
            <w:spacing w:after="0"/>
            <w:jc w:val="center"/>
            <w:rPr>
              <w:rFonts w:ascii="Calibri" w:eastAsia="Calibri" w:hAnsi="Calibri" w:cs="Times New Roman"/>
              <w:b/>
            </w:rPr>
          </w:pPr>
          <w:r>
            <w:rPr>
              <w:noProof/>
            </w:rPr>
            <w:drawing>
              <wp:inline distT="0" distB="0" distL="0" distR="0" wp14:anchorId="0DD6C52D" wp14:editId="03570DC4">
                <wp:extent cx="5943600" cy="4082091"/>
                <wp:effectExtent l="0" t="0" r="0" b="0"/>
                <wp:docPr id="1" name="Picture 1" descr="http://www.cdc.gov/diabetes/statistics/incidence/images/new_a_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dc.gov/diabetes/statistics/incidence/images/new_a_fig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082091"/>
                        </a:xfrm>
                        <a:prstGeom prst="rect">
                          <a:avLst/>
                        </a:prstGeom>
                        <a:noFill/>
                        <a:ln>
                          <a:noFill/>
                        </a:ln>
                      </pic:spPr>
                    </pic:pic>
                  </a:graphicData>
                </a:graphic>
              </wp:inline>
            </w:drawing>
          </w:r>
        </w:p>
        <w:p w:rsidR="00A7393A" w:rsidRDefault="00A7393A" w:rsidP="00FF46E8">
          <w:pPr>
            <w:spacing w:after="0"/>
            <w:jc w:val="center"/>
            <w:rPr>
              <w:rFonts w:ascii="Calibri" w:eastAsia="Calibri" w:hAnsi="Calibri" w:cs="Times New Roman"/>
              <w:b/>
            </w:rPr>
          </w:pPr>
        </w:p>
        <w:p w:rsidR="00A7393A" w:rsidRPr="00C734B3" w:rsidRDefault="00A7393A" w:rsidP="00FF46E8">
          <w:pPr>
            <w:spacing w:after="0"/>
            <w:jc w:val="center"/>
            <w:rPr>
              <w:rFonts w:ascii="Calibri" w:eastAsia="Calibri" w:hAnsi="Calibri" w:cs="Times New Roman"/>
              <w:b/>
            </w:rPr>
          </w:pPr>
        </w:p>
        <w:p w:rsidR="00FC4AB9" w:rsidRDefault="00FC4AB9" w:rsidP="00FF46E8">
          <w:pPr>
            <w:pStyle w:val="Caption"/>
            <w:keepNext/>
            <w:spacing w:after="120"/>
            <w:jc w:val="center"/>
            <w:rPr>
              <w:color w:val="auto"/>
            </w:rPr>
          </w:pPr>
        </w:p>
        <w:p w:rsidR="00FC4AB9" w:rsidRPr="00FC4AB9" w:rsidRDefault="00FC4AB9" w:rsidP="00FC4AB9"/>
        <w:p w:rsidR="00FC4AB9" w:rsidRDefault="00FC4AB9" w:rsidP="00FF46E8">
          <w:pPr>
            <w:pStyle w:val="Caption"/>
            <w:keepNext/>
            <w:spacing w:after="120"/>
            <w:jc w:val="center"/>
            <w:rPr>
              <w:color w:val="auto"/>
            </w:rPr>
          </w:pPr>
        </w:p>
        <w:p w:rsidR="00FC4AB9" w:rsidRDefault="00FC4AB9" w:rsidP="00FF46E8">
          <w:pPr>
            <w:pStyle w:val="Caption"/>
            <w:keepNext/>
            <w:spacing w:after="120"/>
            <w:jc w:val="center"/>
            <w:rPr>
              <w:color w:val="auto"/>
            </w:rPr>
          </w:pPr>
        </w:p>
        <w:p w:rsidR="00FC4AB9" w:rsidRDefault="00FC4AB9" w:rsidP="00FF46E8">
          <w:pPr>
            <w:pStyle w:val="Caption"/>
            <w:keepNext/>
            <w:spacing w:after="120"/>
            <w:jc w:val="center"/>
            <w:rPr>
              <w:color w:val="auto"/>
            </w:rPr>
          </w:pPr>
        </w:p>
        <w:p w:rsidR="00FC4AB9" w:rsidRDefault="00FC4AB9" w:rsidP="00FF46E8">
          <w:pPr>
            <w:pStyle w:val="Caption"/>
            <w:keepNext/>
            <w:spacing w:after="120"/>
            <w:jc w:val="center"/>
            <w:rPr>
              <w:color w:val="auto"/>
            </w:rPr>
          </w:pPr>
        </w:p>
        <w:p w:rsidR="00FC4AB9" w:rsidRDefault="00FC4AB9" w:rsidP="00FF46E8">
          <w:pPr>
            <w:pStyle w:val="Caption"/>
            <w:keepNext/>
            <w:spacing w:after="120"/>
            <w:jc w:val="center"/>
            <w:rPr>
              <w:color w:val="auto"/>
            </w:rPr>
          </w:pPr>
        </w:p>
        <w:p w:rsidR="00FC4AB9" w:rsidRPr="00FC4AB9" w:rsidRDefault="00FC4AB9" w:rsidP="00FC4AB9"/>
        <w:p w:rsidR="00FC4AB9" w:rsidRDefault="00FC4AB9" w:rsidP="00FF46E8">
          <w:pPr>
            <w:pStyle w:val="Caption"/>
            <w:keepNext/>
            <w:spacing w:after="120"/>
            <w:jc w:val="center"/>
            <w:rPr>
              <w:color w:val="auto"/>
            </w:rPr>
          </w:pPr>
        </w:p>
        <w:p w:rsidR="00E85EF4" w:rsidRDefault="00B57672" w:rsidP="00FF46E8">
          <w:pPr>
            <w:pStyle w:val="Caption"/>
            <w:keepNext/>
            <w:spacing w:after="120"/>
            <w:jc w:val="center"/>
            <w:rPr>
              <w:color w:val="auto"/>
            </w:rPr>
          </w:pPr>
          <w:bookmarkStart w:id="6" w:name="_Ref454541254"/>
          <w:r w:rsidRPr="00B57672">
            <w:rPr>
              <w:color w:val="auto"/>
            </w:rPr>
            <w:t xml:space="preserve">Figure </w:t>
          </w:r>
          <w:r w:rsidRPr="00B57672">
            <w:rPr>
              <w:color w:val="auto"/>
            </w:rPr>
            <w:fldChar w:fldCharType="begin"/>
          </w:r>
          <w:r w:rsidRPr="00B57672">
            <w:rPr>
              <w:color w:val="auto"/>
            </w:rPr>
            <w:instrText xml:space="preserve"> SEQ Figure \* ARABIC </w:instrText>
          </w:r>
          <w:r w:rsidRPr="00B57672">
            <w:rPr>
              <w:color w:val="auto"/>
            </w:rPr>
            <w:fldChar w:fldCharType="separate"/>
          </w:r>
          <w:r w:rsidR="006F0DB7">
            <w:rPr>
              <w:noProof/>
              <w:color w:val="auto"/>
            </w:rPr>
            <w:t>2</w:t>
          </w:r>
          <w:r w:rsidRPr="00B57672">
            <w:rPr>
              <w:color w:val="auto"/>
            </w:rPr>
            <w:fldChar w:fldCharType="end"/>
          </w:r>
          <w:bookmarkEnd w:id="6"/>
          <w:r w:rsidRPr="00B57672">
            <w:rPr>
              <w:color w:val="auto"/>
            </w:rPr>
            <w:t>: Age-adjusted incidence of diagnosed diabetes per 1,000 population aged 18-79 years, by race/ethnicity, United States, 1997-2014</w:t>
          </w:r>
        </w:p>
        <w:p w:rsidR="00FF46E8" w:rsidRPr="00FF46E8" w:rsidRDefault="00FF46E8" w:rsidP="00FF46E8"/>
        <w:p w:rsidR="00686E42" w:rsidRPr="00FF46E8" w:rsidRDefault="00AC1BEA" w:rsidP="003963F1">
          <w:pPr>
            <w:spacing w:after="120"/>
            <w:jc w:val="center"/>
            <w:rPr>
              <w:rFonts w:ascii="Calibri" w:eastAsia="Calibri" w:hAnsi="Calibri" w:cs="Times New Roman"/>
              <w:b/>
            </w:rPr>
          </w:pPr>
          <w:r>
            <w:rPr>
              <w:noProof/>
            </w:rPr>
            <w:drawing>
              <wp:inline distT="0" distB="0" distL="0" distR="0" wp14:anchorId="55CD2C77" wp14:editId="42D5A491">
                <wp:extent cx="5943600" cy="4082091"/>
                <wp:effectExtent l="0" t="0" r="0" b="0"/>
                <wp:docPr id="7" name="Picture 7" descr="http://www.cdc.gov/diabetes/statistics/incidence/images/new_a_fi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dc.gov/diabetes/statistics/incidence/images/new_a_fig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82091"/>
                        </a:xfrm>
                        <a:prstGeom prst="rect">
                          <a:avLst/>
                        </a:prstGeom>
                        <a:noFill/>
                        <a:ln>
                          <a:noFill/>
                        </a:ln>
                      </pic:spPr>
                    </pic:pic>
                  </a:graphicData>
                </a:graphic>
              </wp:inline>
            </w:drawing>
          </w:r>
        </w:p>
        <w:p w:rsidR="00B57672" w:rsidRDefault="00FE11E5" w:rsidP="00FF46E8">
          <w:pPr>
            <w:pStyle w:val="Heading2"/>
            <w:spacing w:before="0" w:after="120"/>
            <w:rPr>
              <w:rFonts w:asciiTheme="majorHAnsi" w:hAnsiTheme="majorHAnsi"/>
            </w:rPr>
          </w:pPr>
          <w:r w:rsidRPr="00FE11E5">
            <w:rPr>
              <w:rFonts w:asciiTheme="majorHAnsi" w:hAnsiTheme="majorHAnsi"/>
            </w:rPr>
            <w:t>Diabetes Prevalence</w:t>
          </w:r>
        </w:p>
        <w:p w:rsidR="00686E42" w:rsidRPr="00FF46E8" w:rsidRDefault="00686E42" w:rsidP="00FF46E8">
          <w:pPr>
            <w:pStyle w:val="Heading2"/>
            <w:spacing w:before="0" w:after="120"/>
            <w:rPr>
              <w:rFonts w:asciiTheme="majorHAnsi" w:hAnsiTheme="majorHAnsi"/>
            </w:rPr>
          </w:pPr>
        </w:p>
        <w:p w:rsidR="006F0DB7" w:rsidRPr="006F0DB7" w:rsidRDefault="00BB334E" w:rsidP="00C6226D">
          <w:pPr>
            <w:pStyle w:val="BodyText"/>
            <w:spacing w:after="0" w:line="276" w:lineRule="auto"/>
            <w:rPr>
              <w:rFonts w:asciiTheme="minorHAnsi" w:hAnsiTheme="minorHAnsi"/>
              <w:noProof/>
              <w:sz w:val="22"/>
              <w:szCs w:val="22"/>
            </w:rPr>
          </w:pPr>
          <w:r w:rsidRPr="00B57672">
            <w:rPr>
              <w:rFonts w:asciiTheme="minorHAnsi" w:hAnsiTheme="minorHAnsi"/>
              <w:sz w:val="22"/>
              <w:szCs w:val="22"/>
            </w:rPr>
            <w:t xml:space="preserve">The diabetes prevalence rate has been steadily rising for two decades in the United States </w:t>
          </w:r>
          <w:r w:rsidR="00B57672" w:rsidRPr="00B57672">
            <w:rPr>
              <w:rFonts w:asciiTheme="minorHAnsi" w:hAnsiTheme="minorHAnsi"/>
              <w:sz w:val="22"/>
              <w:szCs w:val="22"/>
            </w:rPr>
            <w:t>(</w:t>
          </w:r>
          <w:r w:rsidR="00B57672" w:rsidRPr="00B57672">
            <w:rPr>
              <w:rFonts w:asciiTheme="minorHAnsi" w:hAnsiTheme="minorHAnsi"/>
              <w:sz w:val="22"/>
              <w:szCs w:val="22"/>
            </w:rPr>
            <w:fldChar w:fldCharType="begin"/>
          </w:r>
          <w:r w:rsidR="00B57672" w:rsidRPr="00B57672">
            <w:rPr>
              <w:rFonts w:asciiTheme="minorHAnsi" w:hAnsiTheme="minorHAnsi"/>
              <w:sz w:val="22"/>
              <w:szCs w:val="22"/>
            </w:rPr>
            <w:instrText xml:space="preserve"> REF _Ref451346172 \h  \* MERGEFORMAT </w:instrText>
          </w:r>
          <w:r w:rsidR="00B57672" w:rsidRPr="00B57672">
            <w:rPr>
              <w:rFonts w:asciiTheme="minorHAnsi" w:hAnsiTheme="minorHAnsi"/>
              <w:sz w:val="22"/>
              <w:szCs w:val="22"/>
            </w:rPr>
          </w:r>
          <w:r w:rsidR="00B57672" w:rsidRPr="00B57672">
            <w:rPr>
              <w:rFonts w:asciiTheme="minorHAnsi" w:hAnsiTheme="minorHAnsi"/>
              <w:sz w:val="22"/>
              <w:szCs w:val="22"/>
            </w:rPr>
            <w:fldChar w:fldCharType="separate"/>
          </w:r>
        </w:p>
        <w:p w:rsidR="00FE11E5" w:rsidRPr="00B57672" w:rsidRDefault="006F0DB7" w:rsidP="00C6226D">
          <w:pPr>
            <w:pStyle w:val="BodyText"/>
            <w:spacing w:line="276" w:lineRule="auto"/>
            <w:rPr>
              <w:rFonts w:asciiTheme="minorHAnsi" w:hAnsiTheme="minorHAnsi"/>
              <w:sz w:val="22"/>
              <w:szCs w:val="22"/>
            </w:rPr>
          </w:pPr>
          <w:r w:rsidRPr="00BB334E">
            <w:t>Figure</w:t>
          </w:r>
          <w:r w:rsidRPr="00BB334E">
            <w:rPr>
              <w:noProof/>
            </w:rPr>
            <w:t xml:space="preserve"> </w:t>
          </w:r>
          <w:r>
            <w:rPr>
              <w:noProof/>
            </w:rPr>
            <w:t>3</w:t>
          </w:r>
          <w:r w:rsidR="00B57672" w:rsidRPr="00B57672">
            <w:rPr>
              <w:rFonts w:asciiTheme="minorHAnsi" w:hAnsiTheme="minorHAnsi"/>
              <w:sz w:val="22"/>
              <w:szCs w:val="22"/>
            </w:rPr>
            <w:fldChar w:fldCharType="end"/>
          </w:r>
          <w:r w:rsidR="00B57672" w:rsidRPr="00B57672">
            <w:rPr>
              <w:rFonts w:asciiTheme="minorHAnsi" w:hAnsiTheme="minorHAnsi"/>
              <w:sz w:val="22"/>
              <w:szCs w:val="22"/>
            </w:rPr>
            <w:t>)</w:t>
          </w:r>
          <w:r w:rsidR="00FE11E5" w:rsidRPr="00B57672">
            <w:rPr>
              <w:rFonts w:asciiTheme="minorHAnsi" w:hAnsiTheme="minorHAnsi"/>
              <w:sz w:val="22"/>
              <w:szCs w:val="22"/>
            </w:rPr>
            <w:t xml:space="preserve">, due to </w:t>
          </w:r>
          <w:proofErr w:type="gramStart"/>
          <w:r w:rsidR="00FE11E5" w:rsidRPr="00B57672">
            <w:rPr>
              <w:rFonts w:asciiTheme="minorHAnsi" w:hAnsiTheme="minorHAnsi"/>
              <w:i/>
              <w:iCs/>
              <w:sz w:val="22"/>
              <w:szCs w:val="22"/>
            </w:rPr>
            <w:t>both</w:t>
          </w:r>
          <w:r w:rsidR="00FE11E5" w:rsidRPr="00B57672">
            <w:rPr>
              <w:rFonts w:asciiTheme="minorHAnsi" w:hAnsiTheme="minorHAnsi"/>
              <w:sz w:val="22"/>
              <w:szCs w:val="22"/>
            </w:rPr>
            <w:t xml:space="preserve"> greater incidence, or</w:t>
          </w:r>
          <w:proofErr w:type="gramEnd"/>
          <w:r w:rsidR="00FE11E5" w:rsidRPr="00B57672">
            <w:rPr>
              <w:rFonts w:asciiTheme="minorHAnsi" w:hAnsiTheme="minorHAnsi"/>
              <w:sz w:val="22"/>
              <w:szCs w:val="22"/>
            </w:rPr>
            <w:t xml:space="preserve"> new cases, in the population, </w:t>
          </w:r>
          <w:r w:rsidR="00FE11E5" w:rsidRPr="00B57672">
            <w:rPr>
              <w:rFonts w:asciiTheme="minorHAnsi" w:hAnsiTheme="minorHAnsi"/>
              <w:i/>
              <w:iCs/>
              <w:sz w:val="22"/>
              <w:szCs w:val="22"/>
            </w:rPr>
            <w:t>and</w:t>
          </w:r>
          <w:r w:rsidR="00FE11E5" w:rsidRPr="00B57672">
            <w:rPr>
              <w:rFonts w:asciiTheme="minorHAnsi" w:hAnsiTheme="minorHAnsi"/>
              <w:sz w:val="22"/>
              <w:szCs w:val="22"/>
            </w:rPr>
            <w:t xml:space="preserve"> longer survival of persons with diabetes (affecting the duration of the disease)</w:t>
          </w:r>
          <w:r w:rsidR="00945FD8" w:rsidRPr="00B57672">
            <w:rPr>
              <w:rFonts w:asciiTheme="minorHAnsi" w:hAnsiTheme="minorHAnsi"/>
              <w:sz w:val="22"/>
              <w:szCs w:val="22"/>
            </w:rPr>
            <w:t>.</w:t>
          </w:r>
          <w:r w:rsidR="00945FD8" w:rsidRPr="00B57672">
            <w:rPr>
              <w:rStyle w:val="EndnoteReference"/>
              <w:rFonts w:asciiTheme="minorHAnsi" w:hAnsiTheme="minorHAnsi"/>
              <w:sz w:val="22"/>
              <w:szCs w:val="22"/>
            </w:rPr>
            <w:endnoteReference w:id="4"/>
          </w:r>
        </w:p>
        <w:p w:rsidR="00CF22FF" w:rsidRDefault="00B57672" w:rsidP="00CF22FF">
          <w:pPr>
            <w:spacing w:after="120"/>
          </w:pPr>
          <w:r>
            <w:rPr>
              <w:b/>
              <w:bCs/>
              <w:i/>
              <w:iCs/>
            </w:rPr>
            <w:t>In 2014, 9.8% of the adult population in</w:t>
          </w:r>
          <w:r w:rsidR="00E85EF4">
            <w:rPr>
              <w:b/>
              <w:bCs/>
              <w:i/>
              <w:iCs/>
            </w:rPr>
            <w:t xml:space="preserve"> Marion County had been diagnosed with diabetes </w:t>
          </w:r>
          <w:r w:rsidR="00E85EF4" w:rsidRPr="00E85EF4">
            <w:rPr>
              <w:bCs/>
              <w:iCs/>
            </w:rPr>
            <w:t>(</w:t>
          </w:r>
          <w:r w:rsidR="00E85EF4">
            <w:rPr>
              <w:b/>
              <w:bCs/>
              <w:i/>
              <w:iCs/>
            </w:rPr>
            <w:fldChar w:fldCharType="begin"/>
          </w:r>
          <w:r w:rsidR="00E85EF4">
            <w:rPr>
              <w:b/>
              <w:bCs/>
              <w:i/>
              <w:iCs/>
            </w:rPr>
            <w:instrText xml:space="preserve"> REF _Ref451346923 \h </w:instrText>
          </w:r>
          <w:r w:rsidR="00E85EF4">
            <w:rPr>
              <w:b/>
              <w:bCs/>
              <w:i/>
              <w:iCs/>
            </w:rPr>
          </w:r>
          <w:r w:rsidR="00E85EF4">
            <w:rPr>
              <w:b/>
              <w:bCs/>
              <w:i/>
              <w:iCs/>
            </w:rPr>
            <w:fldChar w:fldCharType="separate"/>
          </w:r>
          <w:r w:rsidR="006F0DB7" w:rsidRPr="00DE5178">
            <w:t xml:space="preserve">Figure </w:t>
          </w:r>
          <w:r w:rsidR="006F0DB7">
            <w:rPr>
              <w:noProof/>
            </w:rPr>
            <w:t>4</w:t>
          </w:r>
          <w:r w:rsidR="00E85EF4">
            <w:rPr>
              <w:b/>
              <w:bCs/>
              <w:i/>
              <w:iCs/>
            </w:rPr>
            <w:fldChar w:fldCharType="end"/>
          </w:r>
          <w:r w:rsidR="00E85EF4" w:rsidRPr="00E85EF4">
            <w:rPr>
              <w:bCs/>
              <w:iCs/>
            </w:rPr>
            <w:t>)</w:t>
          </w:r>
          <w:r w:rsidR="00E85EF4" w:rsidRPr="00E85EF4">
            <w:t xml:space="preserve">. </w:t>
          </w:r>
          <w:r w:rsidR="00FE11E5" w:rsidRPr="00E85EF4">
            <w:t xml:space="preserve"> </w:t>
          </w:r>
          <w:r w:rsidR="00E85EF4" w:rsidRPr="00E85EF4">
            <w:t>A 9.8% estimated diabetes</w:t>
          </w:r>
          <w:r w:rsidR="00E85EF4">
            <w:t xml:space="preserve"> prevalence translates to over </w:t>
          </w:r>
          <w:r w:rsidR="00E85EF4" w:rsidRPr="00E85EF4">
            <w:t>68,000 adults</w:t>
          </w:r>
          <w:r w:rsidR="00E85EF4">
            <w:t xml:space="preserve"> in Marion County </w:t>
          </w:r>
          <w:r w:rsidR="00E85EF4" w:rsidRPr="00E85EF4">
            <w:t>who are known to have this disease.</w:t>
          </w:r>
          <w:r w:rsidR="00E85EF4">
            <w:t xml:space="preserve">  However, prevalence in Marion County was</w:t>
          </w:r>
          <w:r w:rsidR="00FE11E5" w:rsidRPr="00B57672">
            <w:t xml:space="preserve"> not statistically significantly different than recent national or state age-adjusted prevalence rates. </w:t>
          </w:r>
          <w:r w:rsidR="00DE5178" w:rsidRPr="00B57672">
            <w:t xml:space="preserve"> </w:t>
          </w:r>
        </w:p>
        <w:p w:rsidR="00D02693" w:rsidRDefault="00D02693" w:rsidP="00CF22FF">
          <w:pPr>
            <w:spacing w:after="120"/>
          </w:pPr>
        </w:p>
        <w:p w:rsidR="00D02693" w:rsidRDefault="00D02693" w:rsidP="00CF22FF">
          <w:pPr>
            <w:spacing w:after="120"/>
          </w:pPr>
        </w:p>
        <w:p w:rsidR="00D02693" w:rsidRDefault="00D02693" w:rsidP="00CF22FF">
          <w:pPr>
            <w:spacing w:after="120"/>
          </w:pPr>
        </w:p>
        <w:p w:rsidR="00D02693" w:rsidRDefault="00D02693" w:rsidP="00CF22FF">
          <w:pPr>
            <w:spacing w:after="120"/>
          </w:pPr>
        </w:p>
        <w:p w:rsidR="00D02693" w:rsidRDefault="00D02693" w:rsidP="00CF22FF">
          <w:pPr>
            <w:spacing w:after="120"/>
          </w:pPr>
        </w:p>
        <w:p w:rsidR="00D02693" w:rsidRDefault="00D02693" w:rsidP="00CF22FF">
          <w:pPr>
            <w:spacing w:after="120"/>
          </w:pPr>
        </w:p>
        <w:p w:rsidR="000B2D34" w:rsidRPr="00A7393A" w:rsidRDefault="00902F89" w:rsidP="00CF22FF">
          <w:pPr>
            <w:spacing w:after="120"/>
          </w:pPr>
        </w:p>
      </w:sdtContent>
    </w:sdt>
    <w:bookmarkStart w:id="7" w:name="_Ref451346172" w:displacedByCustomXml="prev"/>
    <w:bookmarkStart w:id="8" w:name="_Ref451938967" w:displacedByCustomXml="prev"/>
    <w:p w:rsidR="00BB334E" w:rsidRDefault="00BB334E" w:rsidP="00FF46E8">
      <w:pPr>
        <w:pStyle w:val="Caption"/>
        <w:spacing w:after="120"/>
      </w:pPr>
      <w:r w:rsidRPr="00BB334E">
        <w:rPr>
          <w:color w:val="auto"/>
        </w:rPr>
        <w:t xml:space="preserve">Figure </w:t>
      </w:r>
      <w:r w:rsidR="00233001">
        <w:rPr>
          <w:color w:val="auto"/>
        </w:rPr>
        <w:fldChar w:fldCharType="begin"/>
      </w:r>
      <w:r w:rsidR="00233001">
        <w:rPr>
          <w:color w:val="auto"/>
        </w:rPr>
        <w:instrText xml:space="preserve"> SEQ Figure \* ARABIC </w:instrText>
      </w:r>
      <w:r w:rsidR="00233001">
        <w:rPr>
          <w:color w:val="auto"/>
        </w:rPr>
        <w:fldChar w:fldCharType="separate"/>
      </w:r>
      <w:r w:rsidR="006F0DB7">
        <w:rPr>
          <w:noProof/>
          <w:color w:val="auto"/>
        </w:rPr>
        <w:t>3</w:t>
      </w:r>
      <w:r w:rsidR="00233001">
        <w:rPr>
          <w:color w:val="auto"/>
        </w:rPr>
        <w:fldChar w:fldCharType="end"/>
      </w:r>
      <w:bookmarkEnd w:id="7"/>
      <w:r w:rsidRPr="00BB334E">
        <w:rPr>
          <w:color w:val="auto"/>
        </w:rPr>
        <w:t>: Diabetes Prevalence in Marion County, Indiana, and the U.S.: 1994-2014</w:t>
      </w:r>
      <w:bookmarkEnd w:id="8"/>
    </w:p>
    <w:p w:rsidR="00BB334E" w:rsidRDefault="00A7393A" w:rsidP="00FF46E8">
      <w:pPr>
        <w:keepNext/>
        <w:spacing w:after="120"/>
      </w:pPr>
      <w:r>
        <w:rPr>
          <w:noProof/>
        </w:rPr>
        <w:drawing>
          <wp:inline distT="0" distB="0" distL="0" distR="0" wp14:anchorId="66C96D6A" wp14:editId="5877720B">
            <wp:extent cx="5422605" cy="3125972"/>
            <wp:effectExtent l="0" t="0" r="26035"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6E42" w:rsidRDefault="00F64AB5" w:rsidP="00FF46E8">
      <w:pPr>
        <w:spacing w:after="120"/>
        <w:rPr>
          <w:sz w:val="20"/>
          <w:szCs w:val="20"/>
        </w:rPr>
      </w:pPr>
      <w:r>
        <w:rPr>
          <w:sz w:val="20"/>
          <w:szCs w:val="20"/>
        </w:rPr>
        <w:t xml:space="preserve">Source:  </w:t>
      </w:r>
      <w:r w:rsidRPr="00F64AB5">
        <w:rPr>
          <w:sz w:val="20"/>
          <w:szCs w:val="20"/>
        </w:rPr>
        <w:t>Behavioral Risk</w:t>
      </w:r>
      <w:r>
        <w:rPr>
          <w:sz w:val="20"/>
          <w:szCs w:val="20"/>
        </w:rPr>
        <w:t xml:space="preserve"> Factor Surveillance System, 1994-2014</w:t>
      </w:r>
      <w:r w:rsidRPr="00F64AB5">
        <w:rPr>
          <w:sz w:val="20"/>
          <w:szCs w:val="20"/>
        </w:rPr>
        <w:t xml:space="preserve">; </w:t>
      </w:r>
      <w:r>
        <w:rPr>
          <w:sz w:val="20"/>
          <w:szCs w:val="20"/>
        </w:rPr>
        <w:t>Note: Vertical dotted line indicates major changes made to the survey methods in 2011. State data was unavailable prior to 1999</w:t>
      </w:r>
      <w:r w:rsidR="00E263CA">
        <w:rPr>
          <w:sz w:val="20"/>
          <w:szCs w:val="20"/>
        </w:rPr>
        <w:t xml:space="preserve"> and county level data was unavailable prior to 2003</w:t>
      </w:r>
      <w:r>
        <w:rPr>
          <w:sz w:val="20"/>
          <w:szCs w:val="20"/>
        </w:rPr>
        <w:t>.</w:t>
      </w:r>
    </w:p>
    <w:p w:rsidR="000B2D34" w:rsidRDefault="000B2D34" w:rsidP="00FF46E8">
      <w:pPr>
        <w:spacing w:after="120"/>
        <w:rPr>
          <w:sz w:val="20"/>
          <w:szCs w:val="20"/>
        </w:rPr>
      </w:pPr>
    </w:p>
    <w:p w:rsidR="00DE5178" w:rsidRPr="00DE5178" w:rsidRDefault="00DE5178" w:rsidP="00FF46E8">
      <w:pPr>
        <w:pStyle w:val="Caption"/>
        <w:keepNext/>
        <w:spacing w:after="120"/>
        <w:rPr>
          <w:color w:val="auto"/>
        </w:rPr>
      </w:pPr>
      <w:bookmarkStart w:id="9" w:name="_Ref451346923"/>
      <w:r w:rsidRPr="00DE5178">
        <w:rPr>
          <w:color w:val="auto"/>
        </w:rPr>
        <w:lastRenderedPageBreak/>
        <w:t xml:space="preserve">Figure </w:t>
      </w:r>
      <w:r w:rsidR="00233001">
        <w:rPr>
          <w:color w:val="auto"/>
        </w:rPr>
        <w:fldChar w:fldCharType="begin"/>
      </w:r>
      <w:r w:rsidR="00233001">
        <w:rPr>
          <w:color w:val="auto"/>
        </w:rPr>
        <w:instrText xml:space="preserve"> SEQ Figure \* ARABIC </w:instrText>
      </w:r>
      <w:r w:rsidR="00233001">
        <w:rPr>
          <w:color w:val="auto"/>
        </w:rPr>
        <w:fldChar w:fldCharType="separate"/>
      </w:r>
      <w:r w:rsidR="006F0DB7">
        <w:rPr>
          <w:noProof/>
          <w:color w:val="auto"/>
        </w:rPr>
        <w:t>4</w:t>
      </w:r>
      <w:r w:rsidR="00233001">
        <w:rPr>
          <w:color w:val="auto"/>
        </w:rPr>
        <w:fldChar w:fldCharType="end"/>
      </w:r>
      <w:bookmarkEnd w:id="9"/>
      <w:r w:rsidRPr="00DE5178">
        <w:rPr>
          <w:color w:val="auto"/>
        </w:rPr>
        <w:t>: Diabetes prevalence in Marion County, 2003-2014</w:t>
      </w:r>
    </w:p>
    <w:p w:rsidR="008B5239" w:rsidRDefault="008B5239" w:rsidP="00FF46E8">
      <w:pPr>
        <w:spacing w:after="120"/>
        <w:rPr>
          <w:sz w:val="20"/>
          <w:szCs w:val="20"/>
        </w:rPr>
      </w:pPr>
      <w:r>
        <w:rPr>
          <w:noProof/>
          <w:sz w:val="20"/>
          <w:szCs w:val="20"/>
        </w:rPr>
        <w:drawing>
          <wp:inline distT="0" distB="0" distL="0" distR="0" wp14:anchorId="17F98684" wp14:editId="5AAA40F5">
            <wp:extent cx="5486400" cy="3072810"/>
            <wp:effectExtent l="0" t="0" r="1905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1441" w:rsidRDefault="00592BA4" w:rsidP="00FF46E8">
      <w:pPr>
        <w:spacing w:after="120"/>
        <w:rPr>
          <w:sz w:val="20"/>
          <w:szCs w:val="20"/>
        </w:rPr>
      </w:pPr>
      <w:r>
        <w:rPr>
          <w:sz w:val="20"/>
          <w:szCs w:val="20"/>
        </w:rPr>
        <w:t xml:space="preserve">Source:  </w:t>
      </w:r>
      <w:r w:rsidRPr="00F64AB5">
        <w:rPr>
          <w:sz w:val="20"/>
          <w:szCs w:val="20"/>
        </w:rPr>
        <w:t>Behavioral Risk</w:t>
      </w:r>
      <w:r>
        <w:rPr>
          <w:sz w:val="20"/>
          <w:szCs w:val="20"/>
        </w:rPr>
        <w:t xml:space="preserve"> Factor Surveillance System, 1994-2014</w:t>
      </w:r>
      <w:proofErr w:type="gramStart"/>
      <w:r w:rsidRPr="00F64AB5">
        <w:rPr>
          <w:sz w:val="20"/>
          <w:szCs w:val="20"/>
        </w:rPr>
        <w:t>;</w:t>
      </w:r>
      <w:r w:rsidR="000549AF">
        <w:rPr>
          <w:sz w:val="20"/>
          <w:szCs w:val="20"/>
        </w:rPr>
        <w:t>DR2851</w:t>
      </w:r>
      <w:proofErr w:type="gramEnd"/>
      <w:r w:rsidR="000549AF">
        <w:rPr>
          <w:sz w:val="20"/>
          <w:szCs w:val="20"/>
        </w:rPr>
        <w:t>.</w:t>
      </w:r>
      <w:r w:rsidRPr="00F64AB5">
        <w:rPr>
          <w:sz w:val="20"/>
          <w:szCs w:val="20"/>
        </w:rPr>
        <w:t xml:space="preserve"> </w:t>
      </w:r>
      <w:r>
        <w:rPr>
          <w:sz w:val="20"/>
          <w:szCs w:val="20"/>
        </w:rPr>
        <w:t>Note: Vertical dotted line indicates major changes made to the survey methods in 2011.</w:t>
      </w:r>
    </w:p>
    <w:p w:rsidR="00E85EF4" w:rsidRDefault="00E85EF4" w:rsidP="00FF46E8">
      <w:pPr>
        <w:spacing w:after="120"/>
        <w:rPr>
          <w:sz w:val="20"/>
          <w:szCs w:val="20"/>
        </w:rPr>
      </w:pPr>
    </w:p>
    <w:p w:rsidR="00EA3F27" w:rsidRPr="00EA3F27" w:rsidRDefault="00EA3F27" w:rsidP="00FF46E8">
      <w:pPr>
        <w:spacing w:after="120" w:line="240" w:lineRule="auto"/>
        <w:rPr>
          <w:rFonts w:eastAsia="Arial Unicode MS" w:cs="Times New Roman"/>
          <w:sz w:val="24"/>
          <w:szCs w:val="24"/>
        </w:rPr>
      </w:pPr>
      <w:r w:rsidRPr="00EA3F27">
        <w:rPr>
          <w:rFonts w:eastAsia="Arial Unicode MS" w:cs="Times New Roman"/>
          <w:sz w:val="24"/>
          <w:szCs w:val="24"/>
        </w:rPr>
        <w:t xml:space="preserve">The CDC’s Behavioral Risk Factor Surveillance System (BRFSS) phone surveys also estimate the prevalence of the different types of diabetes. Marion County figures for diabetes, gestational-onset and pre-diabetes conditions </w:t>
      </w:r>
      <w:r w:rsidR="004D7D63">
        <w:rPr>
          <w:rFonts w:eastAsia="Arial Unicode MS" w:cs="Times New Roman"/>
          <w:sz w:val="24"/>
          <w:szCs w:val="24"/>
        </w:rPr>
        <w:t>were similar to state and national numbers</w:t>
      </w:r>
      <w:r w:rsidRPr="00EA3F27">
        <w:rPr>
          <w:rFonts w:eastAsia="Arial Unicode MS" w:cs="Times New Roman"/>
          <w:sz w:val="24"/>
          <w:szCs w:val="24"/>
        </w:rPr>
        <w:t xml:space="preserve"> (</w:t>
      </w:r>
      <w:r w:rsidRPr="00EA3F27">
        <w:rPr>
          <w:rFonts w:eastAsia="Arial Unicode MS" w:cs="Times New Roman"/>
          <w:sz w:val="24"/>
          <w:szCs w:val="24"/>
        </w:rPr>
        <w:fldChar w:fldCharType="begin"/>
      </w:r>
      <w:r w:rsidRPr="00EA3F27">
        <w:rPr>
          <w:rFonts w:eastAsia="Arial Unicode MS" w:cs="Times New Roman"/>
          <w:sz w:val="24"/>
          <w:szCs w:val="24"/>
        </w:rPr>
        <w:instrText xml:space="preserve"> REF _Ref250020903 \h </w:instrText>
      </w:r>
      <w:r>
        <w:rPr>
          <w:rFonts w:eastAsia="Arial Unicode MS" w:cs="Times New Roman"/>
          <w:sz w:val="24"/>
          <w:szCs w:val="24"/>
        </w:rPr>
        <w:instrText xml:space="preserve"> \* MERGEFORMAT </w:instrText>
      </w:r>
      <w:r w:rsidRPr="00EA3F27">
        <w:rPr>
          <w:rFonts w:eastAsia="Arial Unicode MS" w:cs="Times New Roman"/>
          <w:sz w:val="24"/>
          <w:szCs w:val="24"/>
        </w:rPr>
      </w:r>
      <w:r w:rsidRPr="00EA3F27">
        <w:rPr>
          <w:rFonts w:eastAsia="Arial Unicode MS" w:cs="Times New Roman"/>
          <w:sz w:val="24"/>
          <w:szCs w:val="24"/>
        </w:rPr>
        <w:fldChar w:fldCharType="separate"/>
      </w:r>
      <w:r w:rsidR="006F0DB7" w:rsidRPr="006F0DB7">
        <w:rPr>
          <w:rFonts w:eastAsia="Arial Unicode MS" w:cs="Times New Roman"/>
          <w:sz w:val="24"/>
          <w:szCs w:val="24"/>
        </w:rPr>
        <w:t xml:space="preserve">Table </w:t>
      </w:r>
      <w:r w:rsidR="006F0DB7" w:rsidRPr="006F0DB7">
        <w:rPr>
          <w:rFonts w:eastAsia="Arial Unicode MS" w:cs="Times New Roman"/>
          <w:noProof/>
          <w:sz w:val="24"/>
          <w:szCs w:val="24"/>
        </w:rPr>
        <w:t>1</w:t>
      </w:r>
      <w:r w:rsidRPr="00EA3F27">
        <w:rPr>
          <w:rFonts w:eastAsia="Arial Unicode MS" w:cs="Times New Roman"/>
          <w:sz w:val="24"/>
          <w:szCs w:val="24"/>
        </w:rPr>
        <w:fldChar w:fldCharType="end"/>
      </w:r>
      <w:r>
        <w:rPr>
          <w:rFonts w:eastAsia="Arial Unicode MS" w:cs="Times New Roman"/>
          <w:sz w:val="24"/>
          <w:szCs w:val="24"/>
        </w:rPr>
        <w:t>)</w:t>
      </w:r>
      <w:r w:rsidRPr="00EA3F27">
        <w:rPr>
          <w:rFonts w:eastAsia="Arial Unicode MS" w:cs="Times New Roman"/>
          <w:sz w:val="24"/>
          <w:szCs w:val="24"/>
        </w:rPr>
        <w:t>.</w:t>
      </w:r>
    </w:p>
    <w:p w:rsidR="00EA3F27" w:rsidRPr="007D19DA" w:rsidRDefault="00EA3F27" w:rsidP="00FF46E8">
      <w:pPr>
        <w:keepNext/>
        <w:spacing w:after="120" w:line="240" w:lineRule="auto"/>
        <w:rPr>
          <w:rFonts w:eastAsia="Arial Unicode MS" w:cs="Times New Roman"/>
          <w:b/>
          <w:bCs/>
          <w:sz w:val="20"/>
          <w:szCs w:val="20"/>
        </w:rPr>
      </w:pPr>
      <w:bookmarkStart w:id="10" w:name="_Ref250020903"/>
      <w:r w:rsidRPr="007D19DA">
        <w:rPr>
          <w:rFonts w:eastAsia="Arial Unicode MS" w:cs="Times New Roman"/>
          <w:b/>
          <w:bCs/>
          <w:sz w:val="20"/>
          <w:szCs w:val="20"/>
        </w:rPr>
        <w:t xml:space="preserve">Table </w:t>
      </w:r>
      <w:r w:rsidRPr="007D19DA">
        <w:rPr>
          <w:rFonts w:eastAsia="Arial Unicode MS" w:cs="Times New Roman"/>
          <w:b/>
          <w:bCs/>
          <w:sz w:val="20"/>
          <w:szCs w:val="20"/>
        </w:rPr>
        <w:fldChar w:fldCharType="begin"/>
      </w:r>
      <w:r w:rsidRPr="007D19DA">
        <w:rPr>
          <w:rFonts w:eastAsia="Arial Unicode MS" w:cs="Times New Roman"/>
          <w:b/>
          <w:bCs/>
          <w:sz w:val="20"/>
          <w:szCs w:val="20"/>
        </w:rPr>
        <w:instrText xml:space="preserve"> SEQ Table \* ARABIC </w:instrText>
      </w:r>
      <w:r w:rsidRPr="007D19DA">
        <w:rPr>
          <w:rFonts w:eastAsia="Arial Unicode MS" w:cs="Times New Roman"/>
          <w:b/>
          <w:bCs/>
          <w:sz w:val="20"/>
          <w:szCs w:val="20"/>
        </w:rPr>
        <w:fldChar w:fldCharType="separate"/>
      </w:r>
      <w:r w:rsidR="006F0DB7">
        <w:rPr>
          <w:rFonts w:eastAsia="Arial Unicode MS" w:cs="Times New Roman"/>
          <w:b/>
          <w:bCs/>
          <w:noProof/>
          <w:sz w:val="20"/>
          <w:szCs w:val="20"/>
        </w:rPr>
        <w:t>1</w:t>
      </w:r>
      <w:r w:rsidRPr="007D19DA">
        <w:rPr>
          <w:rFonts w:eastAsia="Arial Unicode MS" w:cs="Times New Roman"/>
          <w:b/>
          <w:bCs/>
          <w:sz w:val="20"/>
          <w:szCs w:val="20"/>
        </w:rPr>
        <w:fldChar w:fldCharType="end"/>
      </w:r>
      <w:bookmarkEnd w:id="10"/>
      <w:r w:rsidRPr="007D19DA">
        <w:rPr>
          <w:rFonts w:eastAsia="Arial Unicode MS" w:cs="Times New Roman"/>
          <w:b/>
          <w:bCs/>
          <w:sz w:val="20"/>
          <w:szCs w:val="20"/>
        </w:rPr>
        <w:t>:   2014 Prevalence of Diabetes, Gestational Diabetes, and Pre-Diabetes</w:t>
      </w:r>
    </w:p>
    <w:tbl>
      <w:tblPr>
        <w:tblW w:w="0" w:type="auto"/>
        <w:jc w:val="center"/>
        <w:tblCellMar>
          <w:left w:w="0" w:type="dxa"/>
          <w:right w:w="0" w:type="dxa"/>
        </w:tblCellMar>
        <w:tblLook w:val="0000" w:firstRow="0" w:lastRow="0" w:firstColumn="0" w:lastColumn="0" w:noHBand="0" w:noVBand="0"/>
      </w:tblPr>
      <w:tblGrid>
        <w:gridCol w:w="1998"/>
        <w:gridCol w:w="2070"/>
        <w:gridCol w:w="1890"/>
        <w:gridCol w:w="1710"/>
        <w:gridCol w:w="1908"/>
      </w:tblGrid>
      <w:tr w:rsidR="00EA3F27" w:rsidRPr="00EA3F27" w:rsidTr="00C952DE">
        <w:trPr>
          <w:jc w:val="center"/>
        </w:trPr>
        <w:tc>
          <w:tcPr>
            <w:tcW w:w="1998"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08" w:type="dxa"/>
              <w:bottom w:w="0" w:type="dxa"/>
              <w:right w:w="108" w:type="dxa"/>
            </w:tcMar>
            <w:vAlign w:val="center"/>
          </w:tcPr>
          <w:p w:rsidR="00EA3F27" w:rsidRPr="00EA3F27" w:rsidRDefault="00EA3F27" w:rsidP="00FF46E8">
            <w:pPr>
              <w:keepNext/>
              <w:spacing w:after="120" w:line="240" w:lineRule="auto"/>
              <w:jc w:val="center"/>
              <w:rPr>
                <w:rFonts w:ascii="Times New Roman" w:eastAsia="Arial Unicode MS" w:hAnsi="Times New Roman" w:cs="Times New Roman"/>
                <w:szCs w:val="24"/>
              </w:rPr>
            </w:pPr>
          </w:p>
        </w:tc>
        <w:tc>
          <w:tcPr>
            <w:tcW w:w="2070" w:type="dxa"/>
            <w:tcBorders>
              <w:top w:val="single" w:sz="4" w:space="0" w:color="auto"/>
              <w:left w:val="nil"/>
              <w:bottom w:val="single" w:sz="4" w:space="0" w:color="auto"/>
              <w:right w:val="single" w:sz="4" w:space="0" w:color="auto"/>
            </w:tcBorders>
            <w:shd w:val="clear" w:color="auto" w:fill="8DB3E2" w:themeFill="text2" w:themeFillTint="66"/>
            <w:tcMar>
              <w:top w:w="0" w:type="dxa"/>
              <w:left w:w="108" w:type="dxa"/>
              <w:bottom w:w="0" w:type="dxa"/>
              <w:right w:w="108" w:type="dxa"/>
            </w:tcMar>
            <w:vAlign w:val="center"/>
          </w:tcPr>
          <w:p w:rsidR="00EA3F27" w:rsidRPr="00EA3F27" w:rsidRDefault="00EA3F27" w:rsidP="00FF46E8">
            <w:pPr>
              <w:keepNext/>
              <w:spacing w:after="120" w:line="240" w:lineRule="auto"/>
              <w:jc w:val="center"/>
              <w:rPr>
                <w:rFonts w:eastAsia="Arial Unicode MS" w:cs="Times New Roman"/>
                <w:b/>
                <w:bCs/>
                <w:szCs w:val="24"/>
              </w:rPr>
            </w:pPr>
            <w:r w:rsidRPr="00EA3F27">
              <w:rPr>
                <w:rFonts w:eastAsia="Arial Unicode MS" w:cs="Times New Roman"/>
                <w:b/>
                <w:bCs/>
                <w:szCs w:val="24"/>
              </w:rPr>
              <w:t>Diabetes</w:t>
            </w:r>
            <w:r>
              <w:rPr>
                <w:rFonts w:eastAsia="Arial Unicode MS" w:cs="Times New Roman"/>
                <w:b/>
                <w:bCs/>
                <w:szCs w:val="24"/>
              </w:rPr>
              <w:t xml:space="preserve"> (95% CI)</w:t>
            </w:r>
          </w:p>
        </w:tc>
        <w:tc>
          <w:tcPr>
            <w:tcW w:w="1890" w:type="dxa"/>
            <w:tcBorders>
              <w:top w:val="single" w:sz="4" w:space="0" w:color="auto"/>
              <w:left w:val="nil"/>
              <w:bottom w:val="single" w:sz="4" w:space="0" w:color="auto"/>
              <w:right w:val="single" w:sz="4" w:space="0" w:color="auto"/>
            </w:tcBorders>
            <w:shd w:val="clear" w:color="auto" w:fill="8DB3E2" w:themeFill="text2" w:themeFillTint="66"/>
            <w:tcMar>
              <w:top w:w="0" w:type="dxa"/>
              <w:left w:w="108" w:type="dxa"/>
              <w:bottom w:w="0" w:type="dxa"/>
              <w:right w:w="108" w:type="dxa"/>
            </w:tcMar>
            <w:vAlign w:val="center"/>
          </w:tcPr>
          <w:p w:rsidR="00EA3F27" w:rsidRPr="00EA3F27" w:rsidRDefault="00EA3F27" w:rsidP="00FF46E8">
            <w:pPr>
              <w:keepNext/>
              <w:spacing w:after="120" w:line="240" w:lineRule="auto"/>
              <w:jc w:val="center"/>
              <w:rPr>
                <w:rFonts w:eastAsia="Arial Unicode MS" w:cs="Times New Roman"/>
                <w:b/>
                <w:bCs/>
                <w:szCs w:val="24"/>
              </w:rPr>
            </w:pPr>
            <w:r w:rsidRPr="00EA3F27">
              <w:rPr>
                <w:rFonts w:eastAsia="Arial Unicode MS" w:cs="Times New Roman"/>
                <w:b/>
                <w:bCs/>
                <w:szCs w:val="24"/>
              </w:rPr>
              <w:t>Gestational  Diabetes</w:t>
            </w:r>
            <w:r>
              <w:rPr>
                <w:rFonts w:eastAsia="Arial Unicode MS" w:cs="Times New Roman"/>
                <w:b/>
                <w:bCs/>
                <w:szCs w:val="24"/>
              </w:rPr>
              <w:t xml:space="preserve"> (95% CI)</w:t>
            </w:r>
          </w:p>
        </w:tc>
        <w:tc>
          <w:tcPr>
            <w:tcW w:w="1710" w:type="dxa"/>
            <w:tcBorders>
              <w:top w:val="single" w:sz="4" w:space="0" w:color="auto"/>
              <w:left w:val="nil"/>
              <w:bottom w:val="single" w:sz="4" w:space="0" w:color="auto"/>
              <w:right w:val="single" w:sz="4" w:space="0" w:color="auto"/>
            </w:tcBorders>
            <w:shd w:val="clear" w:color="auto" w:fill="8DB3E2" w:themeFill="text2" w:themeFillTint="66"/>
            <w:tcMar>
              <w:top w:w="0" w:type="dxa"/>
              <w:left w:w="108" w:type="dxa"/>
              <w:bottom w:w="0" w:type="dxa"/>
              <w:right w:w="108" w:type="dxa"/>
            </w:tcMar>
            <w:vAlign w:val="center"/>
          </w:tcPr>
          <w:p w:rsidR="00EA3F27" w:rsidRPr="00EA3F27" w:rsidRDefault="00EA3F27" w:rsidP="00FF46E8">
            <w:pPr>
              <w:keepNext/>
              <w:spacing w:after="120" w:line="240" w:lineRule="auto"/>
              <w:jc w:val="center"/>
              <w:rPr>
                <w:rFonts w:eastAsia="Arial Unicode MS" w:cs="Times New Roman"/>
                <w:b/>
                <w:bCs/>
                <w:szCs w:val="24"/>
              </w:rPr>
            </w:pPr>
            <w:r w:rsidRPr="00EA3F27">
              <w:rPr>
                <w:rFonts w:eastAsia="Arial Unicode MS" w:cs="Times New Roman"/>
                <w:b/>
                <w:bCs/>
                <w:szCs w:val="24"/>
              </w:rPr>
              <w:t>Pre-Diabetes</w:t>
            </w:r>
            <w:r>
              <w:rPr>
                <w:rFonts w:eastAsia="Arial Unicode MS" w:cs="Times New Roman"/>
                <w:b/>
                <w:bCs/>
                <w:szCs w:val="24"/>
              </w:rPr>
              <w:t xml:space="preserve"> (95% CI)</w:t>
            </w:r>
          </w:p>
        </w:tc>
        <w:tc>
          <w:tcPr>
            <w:tcW w:w="1908" w:type="dxa"/>
            <w:tcBorders>
              <w:top w:val="single" w:sz="4" w:space="0" w:color="auto"/>
              <w:left w:val="nil"/>
              <w:bottom w:val="single" w:sz="4" w:space="0" w:color="auto"/>
              <w:right w:val="single" w:sz="4" w:space="0" w:color="auto"/>
            </w:tcBorders>
            <w:shd w:val="clear" w:color="auto" w:fill="8DB3E2" w:themeFill="text2" w:themeFillTint="66"/>
            <w:tcMar>
              <w:top w:w="0" w:type="dxa"/>
              <w:left w:w="108" w:type="dxa"/>
              <w:bottom w:w="0" w:type="dxa"/>
              <w:right w:w="108" w:type="dxa"/>
            </w:tcMar>
            <w:vAlign w:val="center"/>
          </w:tcPr>
          <w:p w:rsidR="00D0037F" w:rsidRDefault="00EA3F27" w:rsidP="00FF46E8">
            <w:pPr>
              <w:keepNext/>
              <w:spacing w:after="120" w:line="240" w:lineRule="auto"/>
              <w:jc w:val="center"/>
              <w:rPr>
                <w:rFonts w:eastAsia="Arial Unicode MS" w:cs="Times New Roman"/>
                <w:b/>
                <w:bCs/>
                <w:szCs w:val="24"/>
              </w:rPr>
            </w:pPr>
            <w:r w:rsidRPr="00EA3F27">
              <w:rPr>
                <w:rFonts w:eastAsia="Arial Unicode MS" w:cs="Times New Roman"/>
                <w:b/>
                <w:bCs/>
                <w:szCs w:val="24"/>
              </w:rPr>
              <w:t>No Diabetes</w:t>
            </w:r>
          </w:p>
          <w:p w:rsidR="00EA3F27" w:rsidRPr="00EA3F27" w:rsidRDefault="00EA3F27" w:rsidP="00FF46E8">
            <w:pPr>
              <w:keepNext/>
              <w:spacing w:after="120" w:line="240" w:lineRule="auto"/>
              <w:jc w:val="center"/>
              <w:rPr>
                <w:rFonts w:eastAsia="Arial Unicode MS" w:cs="Times New Roman"/>
                <w:b/>
                <w:bCs/>
                <w:szCs w:val="24"/>
              </w:rPr>
            </w:pPr>
            <w:r>
              <w:rPr>
                <w:rFonts w:eastAsia="Arial Unicode MS" w:cs="Times New Roman"/>
                <w:b/>
                <w:bCs/>
                <w:szCs w:val="24"/>
              </w:rPr>
              <w:t xml:space="preserve"> (95% CI)</w:t>
            </w:r>
          </w:p>
        </w:tc>
      </w:tr>
      <w:tr w:rsidR="00EA3F27" w:rsidRPr="00EA3F27" w:rsidTr="00EA3F27">
        <w:trPr>
          <w:jc w:val="center"/>
        </w:trPr>
        <w:tc>
          <w:tcPr>
            <w:tcW w:w="199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A3F27" w:rsidRPr="00EA3F27" w:rsidRDefault="00EA3F27" w:rsidP="00FF46E8">
            <w:pPr>
              <w:keepNext/>
              <w:spacing w:after="120" w:line="240" w:lineRule="auto"/>
              <w:jc w:val="center"/>
              <w:rPr>
                <w:rFonts w:eastAsia="Arial Unicode MS" w:cs="Times New Roman"/>
                <w:szCs w:val="24"/>
              </w:rPr>
            </w:pPr>
            <w:r w:rsidRPr="00EA3F27">
              <w:rPr>
                <w:rFonts w:eastAsia="Arial Unicode MS" w:cs="Times New Roman"/>
                <w:szCs w:val="24"/>
              </w:rPr>
              <w:t>Marion County: Total %</w:t>
            </w:r>
          </w:p>
        </w:tc>
        <w:tc>
          <w:tcPr>
            <w:tcW w:w="2070" w:type="dxa"/>
            <w:tcBorders>
              <w:top w:val="nil"/>
              <w:left w:val="nil"/>
              <w:bottom w:val="single" w:sz="4" w:space="0" w:color="auto"/>
              <w:right w:val="single" w:sz="4" w:space="0" w:color="auto"/>
            </w:tcBorders>
            <w:tcMar>
              <w:top w:w="0" w:type="dxa"/>
              <w:left w:w="108" w:type="dxa"/>
              <w:bottom w:w="0" w:type="dxa"/>
              <w:right w:w="108" w:type="dxa"/>
            </w:tcMar>
            <w:vAlign w:val="center"/>
          </w:tcPr>
          <w:p w:rsidR="00EA3F27" w:rsidRPr="00EA3F27" w:rsidRDefault="00EA3F27" w:rsidP="00FF46E8">
            <w:pPr>
              <w:keepNext/>
              <w:spacing w:after="120" w:line="240" w:lineRule="auto"/>
              <w:jc w:val="center"/>
              <w:rPr>
                <w:rFonts w:eastAsia="Arial Unicode MS" w:cs="Times New Roman"/>
                <w:szCs w:val="24"/>
              </w:rPr>
            </w:pPr>
            <w:r w:rsidRPr="00EA3F27">
              <w:rPr>
                <w:rFonts w:eastAsia="Arial Unicode MS" w:cs="Times New Roman"/>
              </w:rPr>
              <w:t>9.8% (8.2-11.5)</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tcPr>
          <w:p w:rsidR="00EA3F27" w:rsidRPr="00EA3F27" w:rsidRDefault="00EA3F27" w:rsidP="00FF46E8">
            <w:pPr>
              <w:keepNext/>
              <w:spacing w:after="120" w:line="240" w:lineRule="auto"/>
              <w:jc w:val="center"/>
              <w:rPr>
                <w:rFonts w:eastAsia="Arial Unicode MS" w:cs="Times New Roman"/>
                <w:szCs w:val="24"/>
              </w:rPr>
            </w:pPr>
            <w:r>
              <w:rPr>
                <w:rFonts w:eastAsia="Arial Unicode MS" w:cs="Times New Roman"/>
                <w:color w:val="000000"/>
                <w:szCs w:val="20"/>
              </w:rPr>
              <w:t>1.8</w:t>
            </w:r>
            <w:r w:rsidRPr="00EA3F27">
              <w:rPr>
                <w:rFonts w:eastAsia="Arial Unicode MS" w:cs="Times New Roman"/>
                <w:szCs w:val="24"/>
              </w:rPr>
              <w:t>%</w:t>
            </w:r>
            <w:r>
              <w:rPr>
                <w:rFonts w:eastAsia="Arial Unicode MS" w:cs="Times New Roman"/>
                <w:szCs w:val="24"/>
              </w:rPr>
              <w:t xml:space="preserve"> (0.9-2.6)</w:t>
            </w:r>
          </w:p>
        </w:tc>
        <w:tc>
          <w:tcPr>
            <w:tcW w:w="1710" w:type="dxa"/>
            <w:tcBorders>
              <w:top w:val="nil"/>
              <w:left w:val="nil"/>
              <w:bottom w:val="single" w:sz="4" w:space="0" w:color="auto"/>
              <w:right w:val="single" w:sz="4" w:space="0" w:color="auto"/>
            </w:tcBorders>
            <w:tcMar>
              <w:top w:w="0" w:type="dxa"/>
              <w:left w:w="108" w:type="dxa"/>
              <w:bottom w:w="0" w:type="dxa"/>
              <w:right w:w="108" w:type="dxa"/>
            </w:tcMar>
            <w:vAlign w:val="center"/>
          </w:tcPr>
          <w:p w:rsidR="00EA3F27" w:rsidRPr="00EA3F27" w:rsidRDefault="00EA3F27" w:rsidP="00FF46E8">
            <w:pPr>
              <w:keepNext/>
              <w:spacing w:after="120" w:line="240" w:lineRule="auto"/>
              <w:jc w:val="center"/>
              <w:rPr>
                <w:rFonts w:eastAsia="Arial Unicode MS" w:cs="Times New Roman"/>
                <w:szCs w:val="24"/>
              </w:rPr>
            </w:pPr>
            <w:r w:rsidRPr="00EA3F27">
              <w:rPr>
                <w:rFonts w:eastAsia="Arial Unicode MS" w:cs="Times New Roman"/>
                <w:szCs w:val="24"/>
              </w:rPr>
              <w:t>1.1%</w:t>
            </w:r>
            <w:r>
              <w:rPr>
                <w:rFonts w:eastAsia="Arial Unicode MS" w:cs="Times New Roman"/>
                <w:szCs w:val="24"/>
              </w:rPr>
              <w:t xml:space="preserve"> (0.5-1.6)</w:t>
            </w:r>
          </w:p>
        </w:tc>
        <w:tc>
          <w:tcPr>
            <w:tcW w:w="1908" w:type="dxa"/>
            <w:tcBorders>
              <w:top w:val="nil"/>
              <w:left w:val="nil"/>
              <w:bottom w:val="single" w:sz="4" w:space="0" w:color="auto"/>
              <w:right w:val="single" w:sz="4" w:space="0" w:color="auto"/>
            </w:tcBorders>
            <w:tcMar>
              <w:top w:w="0" w:type="dxa"/>
              <w:left w:w="108" w:type="dxa"/>
              <w:bottom w:w="0" w:type="dxa"/>
              <w:right w:w="108" w:type="dxa"/>
            </w:tcMar>
            <w:vAlign w:val="center"/>
          </w:tcPr>
          <w:p w:rsidR="00EA3F27" w:rsidRPr="00EA3F27" w:rsidRDefault="00EA3F27" w:rsidP="00FF46E8">
            <w:pPr>
              <w:keepNext/>
              <w:spacing w:after="120" w:line="240" w:lineRule="auto"/>
              <w:jc w:val="center"/>
              <w:rPr>
                <w:rFonts w:eastAsia="Arial Unicode MS" w:cs="Times New Roman"/>
                <w:szCs w:val="24"/>
              </w:rPr>
            </w:pPr>
            <w:r>
              <w:rPr>
                <w:rFonts w:eastAsia="Arial Unicode MS" w:cs="Times New Roman"/>
                <w:szCs w:val="24"/>
              </w:rPr>
              <w:t>87.2</w:t>
            </w:r>
            <w:r w:rsidRPr="00EA3F27">
              <w:rPr>
                <w:rFonts w:eastAsia="Arial Unicode MS" w:cs="Times New Roman"/>
                <w:szCs w:val="24"/>
              </w:rPr>
              <w:t>%</w:t>
            </w:r>
            <w:r>
              <w:rPr>
                <w:rFonts w:eastAsia="Arial Unicode MS" w:cs="Times New Roman"/>
                <w:szCs w:val="24"/>
              </w:rPr>
              <w:t xml:space="preserve"> (85.3-89.2)</w:t>
            </w:r>
          </w:p>
        </w:tc>
      </w:tr>
      <w:tr w:rsidR="00EA3F27" w:rsidRPr="00EA3F27" w:rsidTr="00EA3F27">
        <w:trPr>
          <w:jc w:val="center"/>
        </w:trPr>
        <w:tc>
          <w:tcPr>
            <w:tcW w:w="199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A3F27" w:rsidRPr="00EA3F27" w:rsidRDefault="00EA3F27" w:rsidP="00FF46E8">
            <w:pPr>
              <w:keepNext/>
              <w:spacing w:after="120" w:line="240" w:lineRule="auto"/>
              <w:jc w:val="center"/>
              <w:rPr>
                <w:rFonts w:eastAsia="Arial Unicode MS" w:cs="Times New Roman"/>
                <w:szCs w:val="24"/>
              </w:rPr>
            </w:pPr>
            <w:r w:rsidRPr="00EA3F27">
              <w:rPr>
                <w:rFonts w:eastAsia="Arial Unicode MS" w:cs="Times New Roman"/>
                <w:szCs w:val="24"/>
              </w:rPr>
              <w:t>Indiana: Total %</w:t>
            </w:r>
          </w:p>
        </w:tc>
        <w:tc>
          <w:tcPr>
            <w:tcW w:w="2070" w:type="dxa"/>
            <w:tcBorders>
              <w:top w:val="nil"/>
              <w:left w:val="nil"/>
              <w:bottom w:val="single" w:sz="4" w:space="0" w:color="auto"/>
              <w:right w:val="single" w:sz="4" w:space="0" w:color="auto"/>
            </w:tcBorders>
            <w:tcMar>
              <w:top w:w="0" w:type="dxa"/>
              <w:left w:w="108" w:type="dxa"/>
              <w:bottom w:w="0" w:type="dxa"/>
              <w:right w:w="108" w:type="dxa"/>
            </w:tcMar>
            <w:vAlign w:val="center"/>
          </w:tcPr>
          <w:p w:rsidR="00EA3F27" w:rsidRPr="00EA3F27" w:rsidRDefault="00EA3F27" w:rsidP="00FF46E8">
            <w:pPr>
              <w:keepNext/>
              <w:spacing w:after="120" w:line="240" w:lineRule="auto"/>
              <w:jc w:val="center"/>
              <w:rPr>
                <w:rFonts w:eastAsia="Arial Unicode MS" w:cs="Times New Roman"/>
                <w:szCs w:val="24"/>
              </w:rPr>
            </w:pPr>
            <w:r w:rsidRPr="00EA3F27">
              <w:rPr>
                <w:rFonts w:eastAsia="Arial Unicode MS" w:cs="Times New Roman"/>
                <w:szCs w:val="24"/>
              </w:rPr>
              <w:t>10.7%</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tcPr>
          <w:p w:rsidR="00EA3F27" w:rsidRPr="00EA3F27" w:rsidRDefault="00D0037F" w:rsidP="00FF46E8">
            <w:pPr>
              <w:keepNext/>
              <w:spacing w:after="120" w:line="240" w:lineRule="auto"/>
              <w:jc w:val="center"/>
              <w:rPr>
                <w:rFonts w:eastAsia="Arial Unicode MS" w:cs="Times New Roman"/>
                <w:szCs w:val="24"/>
              </w:rPr>
            </w:pPr>
            <w:r>
              <w:rPr>
                <w:rFonts w:eastAsia="Arial Unicode MS" w:cs="Times New Roman"/>
                <w:szCs w:val="24"/>
              </w:rPr>
              <w:t>0.8</w:t>
            </w:r>
            <w:r w:rsidR="00EA3F27" w:rsidRPr="00EA3F27">
              <w:rPr>
                <w:rFonts w:eastAsia="Arial Unicode MS" w:cs="Times New Roman"/>
                <w:szCs w:val="24"/>
              </w:rPr>
              <w:t>%</w:t>
            </w:r>
          </w:p>
        </w:tc>
        <w:tc>
          <w:tcPr>
            <w:tcW w:w="1710" w:type="dxa"/>
            <w:tcBorders>
              <w:top w:val="nil"/>
              <w:left w:val="nil"/>
              <w:bottom w:val="single" w:sz="4" w:space="0" w:color="auto"/>
              <w:right w:val="single" w:sz="4" w:space="0" w:color="auto"/>
            </w:tcBorders>
            <w:tcMar>
              <w:top w:w="0" w:type="dxa"/>
              <w:left w:w="108" w:type="dxa"/>
              <w:bottom w:w="0" w:type="dxa"/>
              <w:right w:w="108" w:type="dxa"/>
            </w:tcMar>
            <w:vAlign w:val="center"/>
          </w:tcPr>
          <w:p w:rsidR="00EA3F27" w:rsidRPr="00EA3F27" w:rsidRDefault="00D0037F" w:rsidP="00FF46E8">
            <w:pPr>
              <w:keepNext/>
              <w:spacing w:after="120" w:line="240" w:lineRule="auto"/>
              <w:jc w:val="center"/>
              <w:rPr>
                <w:rFonts w:eastAsia="Arial Unicode MS" w:cs="Times New Roman"/>
                <w:szCs w:val="24"/>
              </w:rPr>
            </w:pPr>
            <w:r>
              <w:rPr>
                <w:rFonts w:eastAsia="Arial Unicode MS" w:cs="Times New Roman"/>
                <w:szCs w:val="24"/>
              </w:rPr>
              <w:t>1.0</w:t>
            </w:r>
            <w:r w:rsidR="00EA3F27" w:rsidRPr="00EA3F27">
              <w:rPr>
                <w:rFonts w:eastAsia="Arial Unicode MS" w:cs="Times New Roman"/>
                <w:szCs w:val="24"/>
              </w:rPr>
              <w:t>%</w:t>
            </w:r>
          </w:p>
        </w:tc>
        <w:tc>
          <w:tcPr>
            <w:tcW w:w="1908" w:type="dxa"/>
            <w:tcBorders>
              <w:top w:val="nil"/>
              <w:left w:val="nil"/>
              <w:bottom w:val="single" w:sz="4" w:space="0" w:color="auto"/>
              <w:right w:val="single" w:sz="4" w:space="0" w:color="auto"/>
            </w:tcBorders>
            <w:tcMar>
              <w:top w:w="0" w:type="dxa"/>
              <w:left w:w="108" w:type="dxa"/>
              <w:bottom w:w="0" w:type="dxa"/>
              <w:right w:w="108" w:type="dxa"/>
            </w:tcMar>
            <w:vAlign w:val="center"/>
          </w:tcPr>
          <w:p w:rsidR="00EA3F27" w:rsidRPr="00EA3F27" w:rsidRDefault="00D0037F" w:rsidP="00FF46E8">
            <w:pPr>
              <w:keepNext/>
              <w:spacing w:after="120" w:line="240" w:lineRule="auto"/>
              <w:jc w:val="center"/>
              <w:rPr>
                <w:rFonts w:eastAsia="Arial Unicode MS" w:cs="Times New Roman"/>
                <w:szCs w:val="24"/>
              </w:rPr>
            </w:pPr>
            <w:r>
              <w:rPr>
                <w:rFonts w:eastAsia="Arial Unicode MS" w:cs="Times New Roman"/>
                <w:szCs w:val="24"/>
              </w:rPr>
              <w:t>87.5</w:t>
            </w:r>
            <w:r w:rsidR="00EA3F27" w:rsidRPr="00EA3F27">
              <w:rPr>
                <w:rFonts w:eastAsia="Arial Unicode MS" w:cs="Times New Roman"/>
                <w:szCs w:val="24"/>
              </w:rPr>
              <w:t>%</w:t>
            </w:r>
          </w:p>
        </w:tc>
      </w:tr>
      <w:tr w:rsidR="00EA3F27" w:rsidRPr="00EA3F27" w:rsidTr="00EA3F27">
        <w:trPr>
          <w:jc w:val="center"/>
        </w:trPr>
        <w:tc>
          <w:tcPr>
            <w:tcW w:w="199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A3F27" w:rsidRPr="00EA3F27" w:rsidRDefault="00EA3F27" w:rsidP="00FF46E8">
            <w:pPr>
              <w:keepNext/>
              <w:spacing w:after="120" w:line="240" w:lineRule="auto"/>
              <w:jc w:val="center"/>
              <w:rPr>
                <w:rFonts w:eastAsia="Arial Unicode MS" w:cs="Times New Roman"/>
                <w:szCs w:val="24"/>
              </w:rPr>
            </w:pPr>
            <w:r w:rsidRPr="00EA3F27">
              <w:rPr>
                <w:rFonts w:eastAsia="Arial Unicode MS" w:cs="Times New Roman"/>
                <w:szCs w:val="24"/>
              </w:rPr>
              <w:t>U.S.: Median percentage,</w:t>
            </w:r>
          </w:p>
          <w:p w:rsidR="00EA3F27" w:rsidRPr="00EA3F27" w:rsidRDefault="00EA3F27" w:rsidP="00FF46E8">
            <w:pPr>
              <w:keepNext/>
              <w:spacing w:after="120" w:line="240" w:lineRule="auto"/>
              <w:jc w:val="center"/>
              <w:rPr>
                <w:rFonts w:eastAsia="Arial Unicode MS" w:cs="Times New Roman"/>
                <w:szCs w:val="24"/>
              </w:rPr>
            </w:pPr>
            <w:r w:rsidRPr="00EA3F27">
              <w:rPr>
                <w:rFonts w:eastAsia="Arial Unicode MS" w:cs="Times New Roman"/>
                <w:szCs w:val="24"/>
              </w:rPr>
              <w:t>50 states</w:t>
            </w:r>
          </w:p>
        </w:tc>
        <w:tc>
          <w:tcPr>
            <w:tcW w:w="2070" w:type="dxa"/>
            <w:tcBorders>
              <w:top w:val="nil"/>
              <w:left w:val="nil"/>
              <w:bottom w:val="single" w:sz="4" w:space="0" w:color="auto"/>
              <w:right w:val="single" w:sz="4" w:space="0" w:color="auto"/>
            </w:tcBorders>
            <w:tcMar>
              <w:top w:w="0" w:type="dxa"/>
              <w:left w:w="108" w:type="dxa"/>
              <w:bottom w:w="0" w:type="dxa"/>
              <w:right w:w="108" w:type="dxa"/>
            </w:tcMar>
            <w:vAlign w:val="center"/>
          </w:tcPr>
          <w:p w:rsidR="00EA3F27" w:rsidRPr="00EA3F27" w:rsidRDefault="00EA3F27" w:rsidP="00FF46E8">
            <w:pPr>
              <w:keepNext/>
              <w:spacing w:after="120" w:line="240" w:lineRule="auto"/>
              <w:jc w:val="center"/>
              <w:rPr>
                <w:rFonts w:eastAsia="Arial Unicode MS" w:cs="Times New Roman"/>
                <w:szCs w:val="24"/>
              </w:rPr>
            </w:pPr>
            <w:r w:rsidRPr="00EA3F27">
              <w:rPr>
                <w:rFonts w:eastAsia="Arial Unicode MS" w:cs="Times New Roman"/>
                <w:szCs w:val="24"/>
              </w:rPr>
              <w:t>10.0% (9.7-10.7)</w:t>
            </w:r>
          </w:p>
        </w:tc>
        <w:tc>
          <w:tcPr>
            <w:tcW w:w="1890" w:type="dxa"/>
            <w:tcBorders>
              <w:top w:val="nil"/>
              <w:left w:val="nil"/>
              <w:bottom w:val="single" w:sz="4" w:space="0" w:color="auto"/>
              <w:right w:val="single" w:sz="4" w:space="0" w:color="auto"/>
            </w:tcBorders>
            <w:tcMar>
              <w:top w:w="0" w:type="dxa"/>
              <w:left w:w="108" w:type="dxa"/>
              <w:bottom w:w="0" w:type="dxa"/>
              <w:right w:w="108" w:type="dxa"/>
            </w:tcMar>
            <w:vAlign w:val="center"/>
          </w:tcPr>
          <w:p w:rsidR="00EA3F27" w:rsidRPr="00EA3F27" w:rsidRDefault="00C952DE" w:rsidP="00FF46E8">
            <w:pPr>
              <w:keepNext/>
              <w:spacing w:after="120" w:line="240" w:lineRule="auto"/>
              <w:jc w:val="center"/>
              <w:rPr>
                <w:rFonts w:eastAsia="Arial Unicode MS" w:cs="Times New Roman"/>
                <w:szCs w:val="24"/>
              </w:rPr>
            </w:pPr>
            <w:r>
              <w:rPr>
                <w:rFonts w:eastAsia="Arial Unicode MS" w:cs="Times New Roman"/>
                <w:szCs w:val="24"/>
              </w:rPr>
              <w:t>Unavailable</w:t>
            </w:r>
          </w:p>
        </w:tc>
        <w:tc>
          <w:tcPr>
            <w:tcW w:w="1710" w:type="dxa"/>
            <w:tcBorders>
              <w:top w:val="nil"/>
              <w:left w:val="nil"/>
              <w:bottom w:val="single" w:sz="4" w:space="0" w:color="auto"/>
              <w:right w:val="single" w:sz="4" w:space="0" w:color="auto"/>
            </w:tcBorders>
            <w:tcMar>
              <w:top w:w="0" w:type="dxa"/>
              <w:left w:w="108" w:type="dxa"/>
              <w:bottom w:w="0" w:type="dxa"/>
              <w:right w:w="108" w:type="dxa"/>
            </w:tcMar>
            <w:vAlign w:val="center"/>
          </w:tcPr>
          <w:p w:rsidR="00EA3F27" w:rsidRPr="00EA3F27" w:rsidRDefault="00C952DE" w:rsidP="00FF46E8">
            <w:pPr>
              <w:keepNext/>
              <w:spacing w:after="120" w:line="240" w:lineRule="auto"/>
              <w:jc w:val="center"/>
              <w:rPr>
                <w:rFonts w:eastAsia="Arial Unicode MS" w:cs="Times New Roman"/>
                <w:szCs w:val="24"/>
              </w:rPr>
            </w:pPr>
            <w:r>
              <w:rPr>
                <w:rFonts w:eastAsia="Arial Unicode MS" w:cs="Times New Roman"/>
                <w:szCs w:val="24"/>
              </w:rPr>
              <w:t>Unavailable</w:t>
            </w:r>
          </w:p>
        </w:tc>
        <w:tc>
          <w:tcPr>
            <w:tcW w:w="1908" w:type="dxa"/>
            <w:tcBorders>
              <w:top w:val="nil"/>
              <w:left w:val="nil"/>
              <w:bottom w:val="single" w:sz="4" w:space="0" w:color="auto"/>
              <w:right w:val="single" w:sz="4" w:space="0" w:color="auto"/>
            </w:tcBorders>
            <w:tcMar>
              <w:top w:w="0" w:type="dxa"/>
              <w:left w:w="108" w:type="dxa"/>
              <w:bottom w:w="0" w:type="dxa"/>
              <w:right w:w="108" w:type="dxa"/>
            </w:tcMar>
            <w:vAlign w:val="center"/>
          </w:tcPr>
          <w:p w:rsidR="00EA3F27" w:rsidRPr="00EA3F27" w:rsidRDefault="00C952DE" w:rsidP="00FF46E8">
            <w:pPr>
              <w:keepNext/>
              <w:spacing w:after="120" w:line="240" w:lineRule="auto"/>
              <w:jc w:val="center"/>
              <w:rPr>
                <w:rFonts w:eastAsia="Arial Unicode MS" w:cs="Times New Roman"/>
                <w:szCs w:val="24"/>
              </w:rPr>
            </w:pPr>
            <w:r>
              <w:rPr>
                <w:rFonts w:eastAsia="Arial Unicode MS" w:cs="Times New Roman"/>
                <w:szCs w:val="24"/>
              </w:rPr>
              <w:t>Unavailable</w:t>
            </w:r>
          </w:p>
        </w:tc>
      </w:tr>
    </w:tbl>
    <w:p w:rsidR="00E90200" w:rsidRDefault="00C952DE" w:rsidP="00B32510">
      <w:pPr>
        <w:keepNext/>
        <w:spacing w:after="120" w:line="240" w:lineRule="auto"/>
        <w:ind w:left="288" w:hanging="288"/>
        <w:jc w:val="center"/>
        <w:rPr>
          <w:sz w:val="20"/>
          <w:szCs w:val="20"/>
        </w:rPr>
      </w:pPr>
      <w:r>
        <w:rPr>
          <w:rFonts w:eastAsia="Arial Unicode MS" w:cs="Times New Roman"/>
          <w:sz w:val="20"/>
          <w:szCs w:val="20"/>
        </w:rPr>
        <w:t>Source: CDC BRFSS survey; Indiana BRFSS Data;</w:t>
      </w:r>
      <w:r w:rsidR="00EA3F27" w:rsidRPr="00EA3F27">
        <w:rPr>
          <w:rFonts w:eastAsia="Arial Unicode MS" w:cs="Times New Roman"/>
          <w:sz w:val="20"/>
          <w:szCs w:val="20"/>
        </w:rPr>
        <w:t xml:space="preserve"> </w:t>
      </w:r>
      <w:r>
        <w:rPr>
          <w:rFonts w:eastAsia="Arial Unicode MS" w:cs="Times New Roman"/>
          <w:sz w:val="20"/>
          <w:szCs w:val="20"/>
        </w:rPr>
        <w:t>DR2851</w:t>
      </w:r>
    </w:p>
    <w:p w:rsidR="000B2D34" w:rsidRDefault="000B2D34" w:rsidP="00FF46E8">
      <w:pPr>
        <w:spacing w:after="120"/>
        <w:rPr>
          <w:sz w:val="20"/>
          <w:szCs w:val="20"/>
        </w:rPr>
      </w:pPr>
    </w:p>
    <w:p w:rsidR="007D19DA" w:rsidRPr="004D7D63" w:rsidRDefault="007D19DA" w:rsidP="00FF46E8">
      <w:pPr>
        <w:spacing w:after="120"/>
        <w:rPr>
          <w:rFonts w:eastAsia="Arial Unicode MS" w:cs="Times New Roman"/>
        </w:rPr>
      </w:pPr>
      <w:r w:rsidRPr="004D7D63">
        <w:rPr>
          <w:rFonts w:eastAsia="Arial Unicode MS" w:cs="Times New Roman"/>
          <w:b/>
          <w:bCs/>
          <w:i/>
          <w:iCs/>
        </w:rPr>
        <w:t>Diabetes p</w:t>
      </w:r>
      <w:r w:rsidR="00E90200" w:rsidRPr="004D7D63">
        <w:rPr>
          <w:rFonts w:eastAsia="Arial Unicode MS" w:cs="Times New Roman"/>
          <w:b/>
          <w:bCs/>
          <w:i/>
          <w:iCs/>
        </w:rPr>
        <w:t xml:space="preserve">revalence </w:t>
      </w:r>
      <w:r w:rsidR="006B35D8" w:rsidRPr="004D7D63">
        <w:rPr>
          <w:rFonts w:eastAsia="Arial Unicode MS" w:cs="Times New Roman"/>
          <w:b/>
          <w:bCs/>
          <w:i/>
          <w:iCs/>
        </w:rPr>
        <w:t>among Ma</w:t>
      </w:r>
      <w:r w:rsidRPr="004D7D63">
        <w:rPr>
          <w:rFonts w:eastAsia="Arial Unicode MS" w:cs="Times New Roman"/>
          <w:b/>
          <w:bCs/>
          <w:i/>
          <w:iCs/>
        </w:rPr>
        <w:t>rion County African Americans was</w:t>
      </w:r>
      <w:r w:rsidR="006B35D8" w:rsidRPr="004D7D63">
        <w:rPr>
          <w:rFonts w:eastAsia="Arial Unicode MS" w:cs="Times New Roman"/>
          <w:b/>
          <w:bCs/>
          <w:i/>
          <w:iCs/>
        </w:rPr>
        <w:t xml:space="preserve"> 69</w:t>
      </w:r>
      <w:r w:rsidR="00E90200" w:rsidRPr="004D7D63">
        <w:rPr>
          <w:rFonts w:eastAsia="Arial Unicode MS" w:cs="Times New Roman"/>
          <w:b/>
          <w:bCs/>
          <w:i/>
          <w:iCs/>
        </w:rPr>
        <w:t xml:space="preserve"> </w:t>
      </w:r>
      <w:r w:rsidR="006B35D8" w:rsidRPr="004D7D63">
        <w:rPr>
          <w:rFonts w:eastAsia="Arial Unicode MS" w:cs="Times New Roman"/>
          <w:b/>
          <w:bCs/>
          <w:i/>
          <w:iCs/>
        </w:rPr>
        <w:t>percent higher than Whites (Risk Ratio: 1.69), and almost 4 times</w:t>
      </w:r>
      <w:r w:rsidR="00E90200" w:rsidRPr="004D7D63">
        <w:rPr>
          <w:rFonts w:eastAsia="Arial Unicode MS" w:cs="Times New Roman"/>
          <w:b/>
          <w:bCs/>
          <w:i/>
          <w:iCs/>
        </w:rPr>
        <w:t xml:space="preserve"> higher than Hispanic residents</w:t>
      </w:r>
      <w:r w:rsidR="00E90200" w:rsidRPr="004D7D63">
        <w:rPr>
          <w:rFonts w:eastAsia="Arial Unicode MS" w:cs="Times New Roman"/>
        </w:rPr>
        <w:t xml:space="preserve"> </w:t>
      </w:r>
      <w:r w:rsidR="003C6E05" w:rsidRPr="004D7D63">
        <w:rPr>
          <w:rFonts w:eastAsia="Arial Unicode MS" w:cs="Times New Roman"/>
          <w:b/>
          <w:bCs/>
          <w:i/>
          <w:iCs/>
        </w:rPr>
        <w:t>(Risk</w:t>
      </w:r>
      <w:r w:rsidR="00E90200" w:rsidRPr="004D7D63">
        <w:rPr>
          <w:rFonts w:eastAsia="Arial Unicode MS" w:cs="Times New Roman"/>
          <w:b/>
          <w:bCs/>
          <w:i/>
          <w:iCs/>
        </w:rPr>
        <w:t xml:space="preserve"> R</w:t>
      </w:r>
      <w:r w:rsidR="006B35D8" w:rsidRPr="004D7D63">
        <w:rPr>
          <w:rFonts w:eastAsia="Arial Unicode MS" w:cs="Times New Roman"/>
          <w:b/>
          <w:bCs/>
          <w:i/>
          <w:iCs/>
        </w:rPr>
        <w:t>atio: 3.84</w:t>
      </w:r>
      <w:r w:rsidRPr="004D7D63">
        <w:rPr>
          <w:rFonts w:eastAsia="Arial Unicode MS" w:cs="Times New Roman"/>
          <w:b/>
          <w:bCs/>
          <w:i/>
          <w:iCs/>
        </w:rPr>
        <w:t xml:space="preserve"> in 2014 </w:t>
      </w:r>
      <w:r w:rsidRPr="000C3138">
        <w:rPr>
          <w:rFonts w:eastAsia="Arial Unicode MS" w:cs="Times New Roman"/>
          <w:b/>
          <w:bCs/>
          <w:i/>
          <w:iCs/>
        </w:rPr>
        <w:t>(</w:t>
      </w:r>
      <w:r w:rsidRPr="000C3138">
        <w:rPr>
          <w:rFonts w:eastAsia="Arial Unicode MS" w:cs="Times New Roman"/>
          <w:b/>
          <w:bCs/>
          <w:i/>
          <w:iCs/>
        </w:rPr>
        <w:fldChar w:fldCharType="begin"/>
      </w:r>
      <w:r w:rsidRPr="000C3138">
        <w:rPr>
          <w:rFonts w:eastAsia="Arial Unicode MS" w:cs="Times New Roman"/>
          <w:b/>
          <w:bCs/>
          <w:i/>
          <w:iCs/>
        </w:rPr>
        <w:instrText xml:space="preserve"> REF _Ref451943168 \h  \* MERGEFORMAT </w:instrText>
      </w:r>
      <w:r w:rsidRPr="000C3138">
        <w:rPr>
          <w:rFonts w:eastAsia="Arial Unicode MS" w:cs="Times New Roman"/>
          <w:b/>
          <w:bCs/>
          <w:i/>
          <w:iCs/>
        </w:rPr>
      </w:r>
      <w:r w:rsidRPr="000C3138">
        <w:rPr>
          <w:rFonts w:eastAsia="Arial Unicode MS" w:cs="Times New Roman"/>
          <w:b/>
          <w:bCs/>
          <w:i/>
          <w:iCs/>
        </w:rPr>
        <w:fldChar w:fldCharType="separate"/>
      </w:r>
      <w:r w:rsidR="006F0DB7" w:rsidRPr="006F0DB7">
        <w:rPr>
          <w:b/>
          <w:i/>
        </w:rPr>
        <w:t xml:space="preserve">Table </w:t>
      </w:r>
      <w:r w:rsidR="006F0DB7" w:rsidRPr="006F0DB7">
        <w:rPr>
          <w:b/>
          <w:i/>
          <w:noProof/>
        </w:rPr>
        <w:t>2</w:t>
      </w:r>
      <w:r w:rsidRPr="000C3138">
        <w:rPr>
          <w:rFonts w:eastAsia="Arial Unicode MS" w:cs="Times New Roman"/>
          <w:b/>
          <w:bCs/>
          <w:i/>
          <w:iCs/>
        </w:rPr>
        <w:fldChar w:fldCharType="end"/>
      </w:r>
      <w:r w:rsidRPr="000C3138">
        <w:rPr>
          <w:rFonts w:eastAsia="Arial Unicode MS" w:cs="Times New Roman"/>
          <w:b/>
          <w:bCs/>
          <w:i/>
          <w:iCs/>
        </w:rPr>
        <w:t>)</w:t>
      </w:r>
      <w:r w:rsidR="00E90200" w:rsidRPr="000C3138">
        <w:rPr>
          <w:rFonts w:eastAsia="Arial Unicode MS" w:cs="Times New Roman"/>
          <w:b/>
          <w:bCs/>
          <w:i/>
          <w:iCs/>
        </w:rPr>
        <w:t>.</w:t>
      </w:r>
      <w:r w:rsidR="00E90200" w:rsidRPr="004D7D63">
        <w:rPr>
          <w:rFonts w:eastAsia="Arial Unicode MS" w:cs="Times New Roman"/>
        </w:rPr>
        <w:t> </w:t>
      </w:r>
      <w:r w:rsidR="007C52CA" w:rsidRPr="004D7D63">
        <w:rPr>
          <w:rFonts w:eastAsia="Arial Unicode MS" w:cs="Times New Roman"/>
        </w:rPr>
        <w:t xml:space="preserve"> </w:t>
      </w:r>
      <w:r w:rsidR="00476B2C" w:rsidRPr="004D7D63">
        <w:rPr>
          <w:rFonts w:eastAsia="Arial Unicode MS" w:cs="Times New Roman"/>
        </w:rPr>
        <w:t xml:space="preserve">Prevalence was over two times higher among Whites than it was among Hispanics in the county. </w:t>
      </w:r>
      <w:r w:rsidRPr="004D7D63">
        <w:rPr>
          <w:rFonts w:eastAsia="Arial Unicode MS" w:cs="Times New Roman"/>
        </w:rPr>
        <w:t xml:space="preserve"> Diabetes prevalence among Marion County Hispanics and African Americans</w:t>
      </w:r>
      <w:r w:rsidR="00476B2C" w:rsidRPr="004D7D63">
        <w:rPr>
          <w:rFonts w:eastAsia="Arial Unicode MS" w:cs="Times New Roman"/>
        </w:rPr>
        <w:t xml:space="preserve"> was</w:t>
      </w:r>
      <w:r w:rsidRPr="004D7D63">
        <w:rPr>
          <w:rFonts w:eastAsia="Arial Unicode MS" w:cs="Times New Roman"/>
        </w:rPr>
        <w:t xml:space="preserve"> not statistically </w:t>
      </w:r>
      <w:r w:rsidRPr="004D7D63">
        <w:rPr>
          <w:rFonts w:eastAsia="Arial Unicode MS" w:cs="Times New Roman"/>
        </w:rPr>
        <w:lastRenderedPageBreak/>
        <w:t xml:space="preserve">different than the prevalence for the state.  However, prevalence among Whites is lower for Marion County than for Indiana. </w:t>
      </w:r>
      <w:r w:rsidR="00E90200" w:rsidRPr="004D7D63">
        <w:rPr>
          <w:rFonts w:eastAsia="Arial Unicode MS" w:cs="Times New Roman"/>
        </w:rPr>
        <w:t xml:space="preserve"> </w:t>
      </w:r>
      <w:r w:rsidRPr="004D7D63">
        <w:rPr>
          <w:rFonts w:eastAsia="Arial Unicode MS" w:cs="Times New Roman"/>
        </w:rPr>
        <w:t>No statistically significant differences are seen in male-to-female comparisons of diabetes prevalence.</w:t>
      </w:r>
    </w:p>
    <w:p w:rsidR="00E90200" w:rsidRDefault="00E90200" w:rsidP="00FF46E8">
      <w:pPr>
        <w:spacing w:after="120" w:line="240" w:lineRule="auto"/>
        <w:rPr>
          <w:rFonts w:eastAsia="Arial Unicode MS" w:cs="Times New Roman"/>
          <w:sz w:val="24"/>
          <w:szCs w:val="24"/>
        </w:rPr>
      </w:pPr>
    </w:p>
    <w:p w:rsidR="007D19DA" w:rsidRPr="007D19DA" w:rsidRDefault="007D19DA" w:rsidP="00FF46E8">
      <w:pPr>
        <w:pStyle w:val="Caption"/>
        <w:keepNext/>
        <w:spacing w:after="120"/>
        <w:rPr>
          <w:color w:val="auto"/>
        </w:rPr>
      </w:pPr>
      <w:bookmarkStart w:id="11" w:name="_Ref451943168"/>
      <w:r w:rsidRPr="007D19DA">
        <w:rPr>
          <w:color w:val="auto"/>
        </w:rPr>
        <w:t xml:space="preserve">Table </w:t>
      </w:r>
      <w:r w:rsidRPr="007D19DA">
        <w:rPr>
          <w:color w:val="auto"/>
        </w:rPr>
        <w:fldChar w:fldCharType="begin"/>
      </w:r>
      <w:r w:rsidRPr="007D19DA">
        <w:rPr>
          <w:color w:val="auto"/>
        </w:rPr>
        <w:instrText xml:space="preserve"> SEQ Table \* ARABIC </w:instrText>
      </w:r>
      <w:r w:rsidRPr="007D19DA">
        <w:rPr>
          <w:color w:val="auto"/>
        </w:rPr>
        <w:fldChar w:fldCharType="separate"/>
      </w:r>
      <w:r w:rsidR="006F0DB7">
        <w:rPr>
          <w:noProof/>
          <w:color w:val="auto"/>
        </w:rPr>
        <w:t>2</w:t>
      </w:r>
      <w:r w:rsidRPr="007D19DA">
        <w:rPr>
          <w:color w:val="auto"/>
        </w:rPr>
        <w:fldChar w:fldCharType="end"/>
      </w:r>
      <w:bookmarkEnd w:id="11"/>
      <w:r w:rsidRPr="007D19DA">
        <w:rPr>
          <w:color w:val="auto"/>
        </w:rPr>
        <w:t>: Diabetes Prevalence in Indiana, and Marion County by Age Group, Race and Gender, 2014</w:t>
      </w:r>
    </w:p>
    <w:tbl>
      <w:tblPr>
        <w:tblW w:w="6493" w:type="dxa"/>
        <w:jc w:val="center"/>
        <w:tblCellMar>
          <w:left w:w="0" w:type="dxa"/>
          <w:right w:w="0" w:type="dxa"/>
        </w:tblCellMar>
        <w:tblLook w:val="0000" w:firstRow="0" w:lastRow="0" w:firstColumn="0" w:lastColumn="0" w:noHBand="0" w:noVBand="0"/>
      </w:tblPr>
      <w:tblGrid>
        <w:gridCol w:w="2164"/>
        <w:gridCol w:w="2156"/>
        <w:gridCol w:w="2173"/>
      </w:tblGrid>
      <w:tr w:rsidR="00E90200" w:rsidRPr="00E90200" w:rsidTr="0055100D">
        <w:trPr>
          <w:jc w:val="center"/>
        </w:trPr>
        <w:tc>
          <w:tcPr>
            <w:tcW w:w="2164" w:type="dxa"/>
            <w:tcBorders>
              <w:top w:val="single" w:sz="4" w:space="0" w:color="auto"/>
              <w:left w:val="single" w:sz="4" w:space="0" w:color="auto"/>
              <w:bottom w:val="single" w:sz="4" w:space="0" w:color="auto"/>
              <w:right w:val="single" w:sz="4" w:space="0" w:color="auto"/>
            </w:tcBorders>
            <w:shd w:val="clear" w:color="auto" w:fill="95B3D7"/>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b/>
                <w:bCs/>
              </w:rPr>
              <w:t>Category</w:t>
            </w:r>
          </w:p>
        </w:tc>
        <w:tc>
          <w:tcPr>
            <w:tcW w:w="2156" w:type="dxa"/>
            <w:tcBorders>
              <w:top w:val="single" w:sz="4" w:space="0" w:color="auto"/>
              <w:left w:val="nil"/>
              <w:bottom w:val="single" w:sz="4" w:space="0" w:color="auto"/>
              <w:right w:val="single" w:sz="4" w:space="0" w:color="auto"/>
            </w:tcBorders>
            <w:shd w:val="clear" w:color="auto" w:fill="95B3D7"/>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b/>
                <w:bCs/>
              </w:rPr>
            </w:pPr>
            <w:r w:rsidRPr="00E90200">
              <w:rPr>
                <w:rFonts w:eastAsia="Arial Unicode MS" w:cs="Times New Roman"/>
                <w:b/>
                <w:bCs/>
              </w:rPr>
              <w:t>Indiana</w:t>
            </w:r>
          </w:p>
        </w:tc>
        <w:tc>
          <w:tcPr>
            <w:tcW w:w="2173" w:type="dxa"/>
            <w:tcBorders>
              <w:top w:val="single" w:sz="4" w:space="0" w:color="auto"/>
              <w:left w:val="nil"/>
              <w:bottom w:val="single" w:sz="4" w:space="0" w:color="auto"/>
              <w:right w:val="single" w:sz="4" w:space="0" w:color="auto"/>
            </w:tcBorders>
            <w:shd w:val="clear" w:color="auto" w:fill="95B3D7"/>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b/>
                <w:bCs/>
              </w:rPr>
            </w:pPr>
            <w:r w:rsidRPr="00E90200">
              <w:rPr>
                <w:rFonts w:eastAsia="Arial Unicode MS" w:cs="Times New Roman"/>
                <w:b/>
                <w:bCs/>
              </w:rPr>
              <w:t>Marion County  (95% Confidence Interval)</w:t>
            </w:r>
          </w:p>
        </w:tc>
      </w:tr>
      <w:tr w:rsidR="00E90200" w:rsidRPr="00E90200" w:rsidTr="0055100D">
        <w:trPr>
          <w:jc w:val="center"/>
        </w:trPr>
        <w:tc>
          <w:tcPr>
            <w:tcW w:w="216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rPr>
                <w:rFonts w:eastAsia="Arial Unicode MS" w:cs="Times New Roman"/>
              </w:rPr>
            </w:pPr>
            <w:r w:rsidRPr="00E90200">
              <w:rPr>
                <w:rFonts w:eastAsia="Arial Unicode MS" w:cs="Times New Roman"/>
              </w:rPr>
              <w:t>Male</w:t>
            </w:r>
          </w:p>
        </w:tc>
        <w:tc>
          <w:tcPr>
            <w:tcW w:w="2156" w:type="dxa"/>
            <w:tcBorders>
              <w:top w:val="nil"/>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11.1%</w:t>
            </w:r>
          </w:p>
        </w:tc>
        <w:tc>
          <w:tcPr>
            <w:tcW w:w="2173" w:type="dxa"/>
            <w:tcBorders>
              <w:top w:val="nil"/>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10.8% (8.1-13.5)</w:t>
            </w:r>
          </w:p>
        </w:tc>
      </w:tr>
      <w:tr w:rsidR="00E90200" w:rsidRPr="00E90200" w:rsidTr="0055100D">
        <w:trPr>
          <w:jc w:val="center"/>
        </w:trPr>
        <w:tc>
          <w:tcPr>
            <w:tcW w:w="2164" w:type="dxa"/>
            <w:tcBorders>
              <w:top w:val="nil"/>
              <w:left w:val="single" w:sz="4" w:space="0" w:color="auto"/>
              <w:bottom w:val="doub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rPr>
                <w:rFonts w:eastAsia="Arial Unicode MS" w:cs="Times New Roman"/>
              </w:rPr>
            </w:pPr>
            <w:r w:rsidRPr="00E90200">
              <w:rPr>
                <w:rFonts w:eastAsia="Arial Unicode MS" w:cs="Times New Roman"/>
              </w:rPr>
              <w:t>Female</w:t>
            </w:r>
          </w:p>
        </w:tc>
        <w:tc>
          <w:tcPr>
            <w:tcW w:w="2156" w:type="dxa"/>
            <w:tcBorders>
              <w:top w:val="nil"/>
              <w:left w:val="nil"/>
              <w:bottom w:val="doub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10.3%</w:t>
            </w:r>
          </w:p>
        </w:tc>
        <w:tc>
          <w:tcPr>
            <w:tcW w:w="2173" w:type="dxa"/>
            <w:tcBorders>
              <w:top w:val="nil"/>
              <w:left w:val="nil"/>
              <w:bottom w:val="doub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9.0% (6.9-11.1)</w:t>
            </w:r>
          </w:p>
        </w:tc>
      </w:tr>
      <w:tr w:rsidR="00E90200" w:rsidRPr="00E90200" w:rsidTr="0055100D">
        <w:trPr>
          <w:jc w:val="center"/>
        </w:trPr>
        <w:tc>
          <w:tcPr>
            <w:tcW w:w="6493"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p>
        </w:tc>
      </w:tr>
      <w:tr w:rsidR="00E90200" w:rsidRPr="00E90200" w:rsidTr="0055100D">
        <w:trPr>
          <w:jc w:val="center"/>
        </w:trPr>
        <w:tc>
          <w:tcPr>
            <w:tcW w:w="216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rPr>
                <w:rFonts w:eastAsia="Arial Unicode MS" w:cs="Times New Roman"/>
              </w:rPr>
            </w:pPr>
            <w:r w:rsidRPr="00E90200">
              <w:rPr>
                <w:rFonts w:eastAsia="Arial Unicode MS" w:cs="Times New Roman"/>
              </w:rPr>
              <w:t>White</w:t>
            </w:r>
          </w:p>
        </w:tc>
        <w:tc>
          <w:tcPr>
            <w:tcW w:w="2156" w:type="dxa"/>
            <w:tcBorders>
              <w:top w:val="nil"/>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11.1%</w:t>
            </w:r>
          </w:p>
        </w:tc>
        <w:tc>
          <w:tcPr>
            <w:tcW w:w="2173" w:type="dxa"/>
            <w:tcBorders>
              <w:top w:val="nil"/>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8.9% (7.0-10.8)</w:t>
            </w:r>
          </w:p>
        </w:tc>
      </w:tr>
      <w:tr w:rsidR="00E90200" w:rsidRPr="00E90200" w:rsidTr="0055100D">
        <w:trPr>
          <w:jc w:val="center"/>
        </w:trPr>
        <w:tc>
          <w:tcPr>
            <w:tcW w:w="216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rPr>
                <w:rFonts w:eastAsia="Arial Unicode MS" w:cs="Times New Roman"/>
              </w:rPr>
            </w:pPr>
            <w:r w:rsidRPr="00E90200">
              <w:rPr>
                <w:rFonts w:eastAsia="Arial Unicode MS" w:cs="Times New Roman"/>
              </w:rPr>
              <w:t>Black</w:t>
            </w:r>
          </w:p>
        </w:tc>
        <w:tc>
          <w:tcPr>
            <w:tcW w:w="2156" w:type="dxa"/>
            <w:tcBorders>
              <w:top w:val="nil"/>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12.2%</w:t>
            </w:r>
          </w:p>
        </w:tc>
        <w:tc>
          <w:tcPr>
            <w:tcW w:w="2173" w:type="dxa"/>
            <w:tcBorders>
              <w:top w:val="nil"/>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15.0% (10.3-19.7)</w:t>
            </w:r>
          </w:p>
        </w:tc>
      </w:tr>
      <w:tr w:rsidR="00E90200" w:rsidRPr="00E90200" w:rsidTr="0055100D">
        <w:trPr>
          <w:jc w:val="center"/>
        </w:trPr>
        <w:tc>
          <w:tcPr>
            <w:tcW w:w="2164" w:type="dxa"/>
            <w:tcBorders>
              <w:top w:val="nil"/>
              <w:left w:val="single" w:sz="4" w:space="0" w:color="auto"/>
              <w:bottom w:val="doub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rPr>
                <w:rFonts w:eastAsia="Arial Unicode MS" w:cs="Times New Roman"/>
              </w:rPr>
            </w:pPr>
            <w:r w:rsidRPr="00E90200">
              <w:rPr>
                <w:rFonts w:eastAsia="Arial Unicode MS" w:cs="Times New Roman"/>
              </w:rPr>
              <w:t>Hispanic</w:t>
            </w:r>
          </w:p>
        </w:tc>
        <w:tc>
          <w:tcPr>
            <w:tcW w:w="2156" w:type="dxa"/>
            <w:tcBorders>
              <w:top w:val="nil"/>
              <w:left w:val="nil"/>
              <w:bottom w:val="doub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4.8%</w:t>
            </w:r>
          </w:p>
        </w:tc>
        <w:tc>
          <w:tcPr>
            <w:tcW w:w="2173" w:type="dxa"/>
            <w:tcBorders>
              <w:top w:val="nil"/>
              <w:left w:val="nil"/>
              <w:bottom w:val="doub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3.9% (2.1-5.6)</w:t>
            </w:r>
          </w:p>
        </w:tc>
      </w:tr>
      <w:tr w:rsidR="00E90200" w:rsidRPr="00E90200" w:rsidTr="0055100D">
        <w:trPr>
          <w:jc w:val="center"/>
        </w:trPr>
        <w:tc>
          <w:tcPr>
            <w:tcW w:w="6493"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p>
        </w:tc>
      </w:tr>
      <w:tr w:rsidR="00E90200" w:rsidRPr="00E90200" w:rsidTr="0055100D">
        <w:trPr>
          <w:jc w:val="center"/>
        </w:trPr>
        <w:tc>
          <w:tcPr>
            <w:tcW w:w="216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rPr>
                <w:rFonts w:eastAsia="Arial Unicode MS" w:cs="Times New Roman"/>
              </w:rPr>
            </w:pPr>
            <w:r w:rsidRPr="00E90200">
              <w:rPr>
                <w:rFonts w:eastAsia="Arial Unicode MS" w:cs="Times New Roman"/>
              </w:rPr>
              <w:t>Ages: 18-24</w:t>
            </w:r>
          </w:p>
        </w:tc>
        <w:tc>
          <w:tcPr>
            <w:tcW w:w="2156" w:type="dxa"/>
            <w:tcBorders>
              <w:top w:val="nil"/>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1.8%</w:t>
            </w:r>
          </w:p>
        </w:tc>
        <w:tc>
          <w:tcPr>
            <w:tcW w:w="2173" w:type="dxa"/>
            <w:vMerge w:val="restart"/>
            <w:tcBorders>
              <w:top w:val="nil"/>
              <w:left w:val="nil"/>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2.0% (0.0-4.1)</w:t>
            </w:r>
          </w:p>
        </w:tc>
      </w:tr>
      <w:tr w:rsidR="00E90200" w:rsidRPr="00E90200" w:rsidTr="0055100D">
        <w:trPr>
          <w:jc w:val="center"/>
        </w:trPr>
        <w:tc>
          <w:tcPr>
            <w:tcW w:w="216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rPr>
                <w:rFonts w:eastAsia="Arial Unicode MS" w:cs="Times New Roman"/>
              </w:rPr>
            </w:pPr>
            <w:r w:rsidRPr="00E90200">
              <w:rPr>
                <w:rFonts w:eastAsia="Arial Unicode MS" w:cs="Times New Roman"/>
              </w:rPr>
              <w:t>Ages: 25-34</w:t>
            </w:r>
          </w:p>
        </w:tc>
        <w:tc>
          <w:tcPr>
            <w:tcW w:w="2156" w:type="dxa"/>
            <w:tcBorders>
              <w:top w:val="nil"/>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2.1%</w:t>
            </w:r>
          </w:p>
        </w:tc>
        <w:tc>
          <w:tcPr>
            <w:tcW w:w="2173" w:type="dxa"/>
            <w:vMerge/>
            <w:tcBorders>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p>
        </w:tc>
      </w:tr>
      <w:tr w:rsidR="00E90200" w:rsidRPr="00E90200" w:rsidTr="0055100D">
        <w:trPr>
          <w:jc w:val="center"/>
        </w:trPr>
        <w:tc>
          <w:tcPr>
            <w:tcW w:w="216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rPr>
                <w:rFonts w:eastAsia="Arial Unicode MS" w:cs="Times New Roman"/>
              </w:rPr>
            </w:pPr>
            <w:r w:rsidRPr="00E90200">
              <w:rPr>
                <w:rFonts w:eastAsia="Arial Unicode MS" w:cs="Times New Roman"/>
              </w:rPr>
              <w:t>Ages: 35-44</w:t>
            </w:r>
          </w:p>
        </w:tc>
        <w:tc>
          <w:tcPr>
            <w:tcW w:w="2156" w:type="dxa"/>
            <w:tcBorders>
              <w:top w:val="nil"/>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5.2%</w:t>
            </w:r>
          </w:p>
        </w:tc>
        <w:tc>
          <w:tcPr>
            <w:tcW w:w="2173" w:type="dxa"/>
            <w:vMerge w:val="restart"/>
            <w:tcBorders>
              <w:top w:val="nil"/>
              <w:left w:val="nil"/>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5.4% (3.0-7.8)</w:t>
            </w:r>
          </w:p>
        </w:tc>
      </w:tr>
      <w:tr w:rsidR="00E90200" w:rsidRPr="00E90200" w:rsidTr="0055100D">
        <w:trPr>
          <w:jc w:val="center"/>
        </w:trPr>
        <w:tc>
          <w:tcPr>
            <w:tcW w:w="216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rPr>
                <w:rFonts w:eastAsia="Arial Unicode MS" w:cs="Times New Roman"/>
              </w:rPr>
            </w:pPr>
            <w:r w:rsidRPr="00E90200">
              <w:rPr>
                <w:rFonts w:eastAsia="Arial Unicode MS" w:cs="Times New Roman"/>
              </w:rPr>
              <w:t>Ages: 45-54</w:t>
            </w:r>
          </w:p>
        </w:tc>
        <w:tc>
          <w:tcPr>
            <w:tcW w:w="2156" w:type="dxa"/>
            <w:tcBorders>
              <w:top w:val="nil"/>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11.1%</w:t>
            </w:r>
          </w:p>
        </w:tc>
        <w:tc>
          <w:tcPr>
            <w:tcW w:w="2173" w:type="dxa"/>
            <w:vMerge/>
            <w:tcBorders>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p>
        </w:tc>
      </w:tr>
      <w:tr w:rsidR="00E90200" w:rsidRPr="00E90200" w:rsidTr="0055100D">
        <w:trPr>
          <w:jc w:val="center"/>
        </w:trPr>
        <w:tc>
          <w:tcPr>
            <w:tcW w:w="216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rPr>
                <w:rFonts w:eastAsia="Arial Unicode MS" w:cs="Times New Roman"/>
              </w:rPr>
            </w:pPr>
            <w:r w:rsidRPr="00E90200">
              <w:rPr>
                <w:rFonts w:eastAsia="Arial Unicode MS" w:cs="Times New Roman"/>
              </w:rPr>
              <w:t>Ages: 55-64</w:t>
            </w:r>
          </w:p>
        </w:tc>
        <w:tc>
          <w:tcPr>
            <w:tcW w:w="2156" w:type="dxa"/>
            <w:tcBorders>
              <w:top w:val="nil"/>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18.0%</w:t>
            </w:r>
          </w:p>
        </w:tc>
        <w:tc>
          <w:tcPr>
            <w:tcW w:w="2173" w:type="dxa"/>
            <w:vMerge w:val="restart"/>
            <w:tcBorders>
              <w:top w:val="nil"/>
              <w:left w:val="nil"/>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23.8% (19.5-28.1)</w:t>
            </w:r>
          </w:p>
        </w:tc>
      </w:tr>
      <w:tr w:rsidR="00E90200" w:rsidRPr="00E90200" w:rsidTr="0055100D">
        <w:trPr>
          <w:jc w:val="center"/>
        </w:trPr>
        <w:tc>
          <w:tcPr>
            <w:tcW w:w="216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rPr>
                <w:rFonts w:eastAsia="Arial Unicode MS" w:cs="Times New Roman"/>
              </w:rPr>
            </w:pPr>
            <w:r w:rsidRPr="00E90200">
              <w:rPr>
                <w:rFonts w:eastAsia="Arial Unicode MS" w:cs="Times New Roman"/>
              </w:rPr>
              <w:t>Ages: 65-74</w:t>
            </w:r>
          </w:p>
        </w:tc>
        <w:tc>
          <w:tcPr>
            <w:tcW w:w="2156" w:type="dxa"/>
            <w:tcBorders>
              <w:top w:val="nil"/>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22.3%</w:t>
            </w:r>
          </w:p>
        </w:tc>
        <w:tc>
          <w:tcPr>
            <w:tcW w:w="2173" w:type="dxa"/>
            <w:vMerge/>
            <w:tcBorders>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p>
        </w:tc>
      </w:tr>
      <w:tr w:rsidR="00E90200" w:rsidRPr="00E90200" w:rsidTr="0055100D">
        <w:trPr>
          <w:jc w:val="center"/>
        </w:trPr>
        <w:tc>
          <w:tcPr>
            <w:tcW w:w="2164" w:type="dxa"/>
            <w:tcBorders>
              <w:top w:val="nil"/>
              <w:left w:val="single" w:sz="4" w:space="0" w:color="auto"/>
              <w:bottom w:val="doub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rPr>
                <w:rFonts w:eastAsia="Arial Unicode MS" w:cs="Times New Roman"/>
              </w:rPr>
            </w:pPr>
            <w:r w:rsidRPr="00E90200">
              <w:rPr>
                <w:rFonts w:eastAsia="Arial Unicode MS" w:cs="Times New Roman"/>
              </w:rPr>
              <w:t>Age 75+</w:t>
            </w:r>
          </w:p>
        </w:tc>
        <w:tc>
          <w:tcPr>
            <w:tcW w:w="2156" w:type="dxa"/>
            <w:tcBorders>
              <w:top w:val="nil"/>
              <w:left w:val="nil"/>
              <w:bottom w:val="doub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23.0%</w:t>
            </w:r>
          </w:p>
        </w:tc>
        <w:tc>
          <w:tcPr>
            <w:tcW w:w="2173" w:type="dxa"/>
            <w:tcBorders>
              <w:top w:val="nil"/>
              <w:left w:val="nil"/>
              <w:bottom w:val="doub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rPr>
            </w:pPr>
            <w:r w:rsidRPr="00E90200">
              <w:rPr>
                <w:rFonts w:eastAsia="Arial Unicode MS" w:cs="Times New Roman"/>
              </w:rPr>
              <w:t>21.2% (14.7-27.7)</w:t>
            </w:r>
          </w:p>
        </w:tc>
      </w:tr>
      <w:tr w:rsidR="00E90200" w:rsidRPr="00E90200" w:rsidTr="0055100D">
        <w:trPr>
          <w:jc w:val="center"/>
        </w:trPr>
        <w:tc>
          <w:tcPr>
            <w:tcW w:w="2164"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rPr>
                <w:rFonts w:eastAsia="Arial Unicode MS" w:cs="Times New Roman"/>
                <w:b/>
                <w:bCs/>
              </w:rPr>
            </w:pPr>
            <w:r w:rsidRPr="00E90200">
              <w:rPr>
                <w:rFonts w:eastAsia="Arial Unicode MS" w:cs="Times New Roman"/>
                <w:b/>
                <w:bCs/>
              </w:rPr>
              <w:t>Total</w:t>
            </w:r>
          </w:p>
        </w:tc>
        <w:tc>
          <w:tcPr>
            <w:tcW w:w="2156" w:type="dxa"/>
            <w:tcBorders>
              <w:top w:val="nil"/>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b/>
                <w:bCs/>
              </w:rPr>
            </w:pPr>
            <w:r w:rsidRPr="00E90200">
              <w:rPr>
                <w:rFonts w:eastAsia="Arial Unicode MS" w:cs="Times New Roman"/>
                <w:b/>
                <w:bCs/>
              </w:rPr>
              <w:t>10.7%</w:t>
            </w:r>
          </w:p>
        </w:tc>
        <w:tc>
          <w:tcPr>
            <w:tcW w:w="2173" w:type="dxa"/>
            <w:tcBorders>
              <w:top w:val="nil"/>
              <w:left w:val="nil"/>
              <w:bottom w:val="single" w:sz="4" w:space="0" w:color="auto"/>
              <w:right w:val="single" w:sz="4" w:space="0" w:color="auto"/>
            </w:tcBorders>
            <w:tcMar>
              <w:top w:w="0" w:type="dxa"/>
              <w:left w:w="108" w:type="dxa"/>
              <w:bottom w:w="0" w:type="dxa"/>
              <w:right w:w="108" w:type="dxa"/>
            </w:tcMar>
            <w:vAlign w:val="center"/>
          </w:tcPr>
          <w:p w:rsidR="00E90200" w:rsidRPr="00E90200" w:rsidRDefault="00E90200" w:rsidP="00FF46E8">
            <w:pPr>
              <w:keepNext/>
              <w:spacing w:after="120" w:line="240" w:lineRule="auto"/>
              <w:jc w:val="center"/>
              <w:rPr>
                <w:rFonts w:eastAsia="Arial Unicode MS" w:cs="Times New Roman"/>
                <w:b/>
                <w:bCs/>
              </w:rPr>
            </w:pPr>
            <w:r w:rsidRPr="00E90200">
              <w:rPr>
                <w:rFonts w:eastAsia="Arial Unicode MS" w:cs="Times New Roman"/>
                <w:b/>
              </w:rPr>
              <w:t>9.8% (8.2-11.5)</w:t>
            </w:r>
          </w:p>
        </w:tc>
      </w:tr>
    </w:tbl>
    <w:p w:rsidR="00E90200" w:rsidRPr="00E90200" w:rsidRDefault="00E90200" w:rsidP="00FF46E8">
      <w:pPr>
        <w:keepNext/>
        <w:spacing w:after="120" w:line="240" w:lineRule="auto"/>
        <w:ind w:left="288" w:hanging="288"/>
        <w:jc w:val="center"/>
        <w:rPr>
          <w:rFonts w:eastAsia="Arial Unicode MS" w:cs="Times New Roman"/>
          <w:sz w:val="20"/>
          <w:szCs w:val="20"/>
        </w:rPr>
      </w:pPr>
      <w:r w:rsidRPr="00E90200">
        <w:rPr>
          <w:rFonts w:eastAsia="Arial Unicode MS" w:cs="Times New Roman"/>
          <w:sz w:val="20"/>
          <w:szCs w:val="20"/>
        </w:rPr>
        <w:t>Source:  Indiana BRFSS data, ISDH (2014); Marion County BRFSS data (2014) (DR2851). Note: Percentages exclude women that had gestational diabetes only.</w:t>
      </w:r>
    </w:p>
    <w:p w:rsidR="00E90200" w:rsidRDefault="00E90200" w:rsidP="00FF46E8">
      <w:pPr>
        <w:spacing w:after="120"/>
        <w:rPr>
          <w:sz w:val="20"/>
          <w:szCs w:val="20"/>
        </w:rPr>
      </w:pPr>
    </w:p>
    <w:p w:rsidR="000B2D34" w:rsidRDefault="000B2D34" w:rsidP="00FF46E8">
      <w:pPr>
        <w:spacing w:after="120"/>
        <w:rPr>
          <w:sz w:val="20"/>
          <w:szCs w:val="20"/>
        </w:rPr>
      </w:pPr>
    </w:p>
    <w:p w:rsidR="00DE7F26" w:rsidRPr="00C773BB" w:rsidRDefault="00DE7F26" w:rsidP="00FF46E8">
      <w:pPr>
        <w:keepNext/>
        <w:spacing w:after="120" w:line="240" w:lineRule="auto"/>
        <w:outlineLvl w:val="2"/>
        <w:rPr>
          <w:rFonts w:asciiTheme="majorHAnsi" w:eastAsia="Arial Unicode MS" w:hAnsiTheme="majorHAnsi" w:cs="Arial"/>
          <w:b/>
          <w:bCs/>
          <w:sz w:val="28"/>
          <w:szCs w:val="28"/>
        </w:rPr>
      </w:pPr>
      <w:r w:rsidRPr="00C773BB">
        <w:rPr>
          <w:rFonts w:asciiTheme="majorHAnsi" w:eastAsia="Arial Unicode MS" w:hAnsiTheme="majorHAnsi" w:cs="Arial"/>
          <w:b/>
          <w:bCs/>
          <w:sz w:val="28"/>
          <w:szCs w:val="28"/>
        </w:rPr>
        <w:t>Diabetes Complications</w:t>
      </w:r>
    </w:p>
    <w:p w:rsidR="00C773BB" w:rsidRPr="00DE7F26" w:rsidRDefault="00C773BB" w:rsidP="00FF46E8">
      <w:pPr>
        <w:keepNext/>
        <w:spacing w:after="120" w:line="240" w:lineRule="auto"/>
        <w:jc w:val="center"/>
        <w:outlineLvl w:val="2"/>
        <w:rPr>
          <w:rFonts w:eastAsia="Arial Unicode MS" w:cs="Arial"/>
          <w:b/>
          <w:bCs/>
          <w:sz w:val="24"/>
          <w:szCs w:val="24"/>
        </w:rPr>
      </w:pPr>
    </w:p>
    <w:p w:rsidR="00DE7F26" w:rsidRPr="00C773BB" w:rsidRDefault="00DE7F26" w:rsidP="00FF46E8">
      <w:pPr>
        <w:spacing w:after="120"/>
        <w:rPr>
          <w:rFonts w:eastAsia="Times New Roman" w:cs="Times New Roman"/>
          <w:color w:val="FF0000"/>
        </w:rPr>
      </w:pPr>
      <w:r w:rsidRPr="00C773BB">
        <w:rPr>
          <w:rFonts w:eastAsia="Times New Roman" w:cs="Times New Roman"/>
        </w:rPr>
        <w:t>Diabetes-related admissions are one of the most common avoidable reasons for hospitalizations in the U.S.</w:t>
      </w:r>
      <w:r w:rsidRPr="00C773BB">
        <w:rPr>
          <w:rFonts w:eastAsia="Times New Roman" w:cs="Times New Roman"/>
          <w:vertAlign w:val="superscript"/>
        </w:rPr>
        <w:endnoteReference w:id="5"/>
      </w:r>
      <w:r w:rsidRPr="00C773BB">
        <w:rPr>
          <w:rFonts w:eastAsia="Times New Roman" w:cs="Times New Roman"/>
        </w:rPr>
        <w:t xml:space="preserve">  The overall Marion County diabetes-related</w:t>
      </w:r>
      <w:r w:rsidRPr="00C773BB">
        <w:rPr>
          <w:rFonts w:eastAsia="Times New Roman" w:cs="Times New Roman"/>
          <w:vertAlign w:val="superscript"/>
        </w:rPr>
        <w:endnoteReference w:id="6"/>
      </w:r>
      <w:r w:rsidR="00A4755C" w:rsidRPr="00C773BB">
        <w:rPr>
          <w:rFonts w:eastAsia="Times New Roman" w:cs="Times New Roman"/>
        </w:rPr>
        <w:t xml:space="preserve"> hospitalization rate is 214</w:t>
      </w:r>
      <w:r w:rsidRPr="00C773BB">
        <w:rPr>
          <w:rFonts w:eastAsia="Times New Roman" w:cs="Times New Roman"/>
        </w:rPr>
        <w:t xml:space="preserve"> admissi</w:t>
      </w:r>
      <w:r w:rsidR="005D1701" w:rsidRPr="00C773BB">
        <w:rPr>
          <w:rFonts w:eastAsia="Times New Roman" w:cs="Times New Roman"/>
        </w:rPr>
        <w:t>ons per 100,000 popu</w:t>
      </w:r>
      <w:r w:rsidR="00A4755C" w:rsidRPr="00C773BB">
        <w:rPr>
          <w:rFonts w:eastAsia="Times New Roman" w:cs="Times New Roman"/>
        </w:rPr>
        <w:t>lation (2013), an increase of 9</w:t>
      </w:r>
      <w:r w:rsidR="005D1701" w:rsidRPr="00C773BB">
        <w:rPr>
          <w:rFonts w:eastAsia="Times New Roman" w:cs="Times New Roman"/>
        </w:rPr>
        <w:t>%</w:t>
      </w:r>
      <w:r w:rsidRPr="00C773BB">
        <w:rPr>
          <w:rFonts w:eastAsia="Times New Roman" w:cs="Times New Roman"/>
        </w:rPr>
        <w:t xml:space="preserve"> </w:t>
      </w:r>
      <w:r w:rsidR="00A4755C" w:rsidRPr="00C773BB">
        <w:rPr>
          <w:rFonts w:eastAsia="Times New Roman" w:cs="Times New Roman"/>
        </w:rPr>
        <w:t>since 2008</w:t>
      </w:r>
      <w:r w:rsidR="005D1701" w:rsidRPr="00C773BB">
        <w:rPr>
          <w:rFonts w:eastAsia="Times New Roman" w:cs="Times New Roman"/>
        </w:rPr>
        <w:t xml:space="preserve"> (</w:t>
      </w:r>
      <w:r w:rsidR="00A4755C" w:rsidRPr="00C773BB">
        <w:rPr>
          <w:rFonts w:eastAsia="Times New Roman" w:cs="Times New Roman"/>
        </w:rPr>
        <w:t>195.6</w:t>
      </w:r>
      <w:r w:rsidRPr="00C773BB">
        <w:rPr>
          <w:rFonts w:eastAsia="Times New Roman" w:cs="Times New Roman"/>
        </w:rPr>
        <w:t xml:space="preserve"> per </w:t>
      </w:r>
      <w:r w:rsidR="005D1701" w:rsidRPr="00C773BB">
        <w:rPr>
          <w:rFonts w:eastAsia="Times New Roman" w:cs="Times New Roman"/>
        </w:rPr>
        <w:t>100,000)</w:t>
      </w:r>
      <w:r w:rsidR="00C773BB">
        <w:rPr>
          <w:rFonts w:eastAsia="Times New Roman" w:cs="Times New Roman"/>
        </w:rPr>
        <w:t xml:space="preserve"> (</w:t>
      </w:r>
      <w:r w:rsidR="00C773BB" w:rsidRPr="00C773BB">
        <w:rPr>
          <w:rFonts w:eastAsia="Times New Roman" w:cs="Times New Roman"/>
        </w:rPr>
        <w:fldChar w:fldCharType="begin"/>
      </w:r>
      <w:r w:rsidR="00C773BB" w:rsidRPr="00C773BB">
        <w:rPr>
          <w:rFonts w:eastAsia="Times New Roman" w:cs="Times New Roman"/>
        </w:rPr>
        <w:instrText xml:space="preserve"> REF _Ref451943612 \h  \* MERGEFORMAT </w:instrText>
      </w:r>
      <w:r w:rsidR="00C773BB" w:rsidRPr="00C773BB">
        <w:rPr>
          <w:rFonts w:eastAsia="Times New Roman" w:cs="Times New Roman"/>
        </w:rPr>
      </w:r>
      <w:r w:rsidR="00C773BB" w:rsidRPr="00C773BB">
        <w:rPr>
          <w:rFonts w:eastAsia="Times New Roman" w:cs="Times New Roman"/>
        </w:rPr>
        <w:fldChar w:fldCharType="separate"/>
      </w:r>
      <w:r w:rsidR="006F0DB7" w:rsidRPr="006F0DB7">
        <w:t xml:space="preserve">Figure </w:t>
      </w:r>
      <w:r w:rsidR="006F0DB7" w:rsidRPr="006F0DB7">
        <w:rPr>
          <w:noProof/>
        </w:rPr>
        <w:t>5</w:t>
      </w:r>
      <w:r w:rsidR="00C773BB" w:rsidRPr="00C773BB">
        <w:rPr>
          <w:rFonts w:eastAsia="Times New Roman" w:cs="Times New Roman"/>
        </w:rPr>
        <w:fldChar w:fldCharType="end"/>
      </w:r>
      <w:r w:rsidR="00C773BB">
        <w:rPr>
          <w:rFonts w:eastAsia="Times New Roman" w:cs="Times New Roman"/>
        </w:rPr>
        <w:t>)</w:t>
      </w:r>
      <w:r w:rsidRPr="00C773BB">
        <w:rPr>
          <w:rFonts w:eastAsia="Times New Roman" w:cs="Times New Roman"/>
        </w:rPr>
        <w:t>. Marion County rates were similar to</w:t>
      </w:r>
      <w:r w:rsidR="00F02752" w:rsidRPr="00C773BB">
        <w:rPr>
          <w:rFonts w:eastAsia="Times New Roman" w:cs="Times New Roman"/>
        </w:rPr>
        <w:t xml:space="preserve"> the national rate</w:t>
      </w:r>
      <w:r w:rsidR="000473F0" w:rsidRPr="00C773BB">
        <w:rPr>
          <w:rFonts w:eastAsia="Times New Roman" w:cs="Times New Roman"/>
        </w:rPr>
        <w:t xml:space="preserve"> of 206</w:t>
      </w:r>
      <w:r w:rsidRPr="00C773BB">
        <w:rPr>
          <w:rFonts w:eastAsia="Times New Roman" w:cs="Times New Roman"/>
        </w:rPr>
        <w:t xml:space="preserve"> diabetes-rela</w:t>
      </w:r>
      <w:r w:rsidR="000473F0" w:rsidRPr="00C773BB">
        <w:rPr>
          <w:rFonts w:eastAsia="Times New Roman" w:cs="Times New Roman"/>
        </w:rPr>
        <w:t>ted admissions per 100,000 (2010</w:t>
      </w:r>
      <w:r w:rsidRPr="0067397B">
        <w:rPr>
          <w:rFonts w:eastAsia="Times New Roman" w:cs="Times New Roman"/>
        </w:rPr>
        <w:t>).</w:t>
      </w:r>
      <w:r w:rsidR="0067397B" w:rsidRPr="0067397B">
        <w:rPr>
          <w:rStyle w:val="EndnoteReference"/>
          <w:rFonts w:eastAsia="Times New Roman" w:cs="Times New Roman"/>
        </w:rPr>
        <w:endnoteReference w:id="7"/>
      </w:r>
      <w:r w:rsidRPr="0067397B">
        <w:rPr>
          <w:rFonts w:eastAsia="Times New Roman" w:cs="Times New Roman"/>
        </w:rPr>
        <w:t xml:space="preserve"> </w:t>
      </w:r>
      <w:r w:rsidR="000473F0" w:rsidRPr="0067397B">
        <w:rPr>
          <w:rFonts w:eastAsia="Times New Roman" w:cs="Times New Roman"/>
        </w:rPr>
        <w:t xml:space="preserve">  </w:t>
      </w:r>
      <w:r w:rsidRPr="0067397B">
        <w:rPr>
          <w:rFonts w:eastAsia="Times New Roman" w:cs="Times New Roman"/>
        </w:rPr>
        <w:t>Inpatient care for diabetes is significantly higher among minority populations</w:t>
      </w:r>
      <w:r w:rsidR="0067397B" w:rsidRPr="0067397B">
        <w:rPr>
          <w:rFonts w:eastAsia="Times New Roman" w:cs="Times New Roman"/>
        </w:rPr>
        <w:t>.</w:t>
      </w:r>
      <w:r w:rsidR="0067397B" w:rsidRPr="0067397B">
        <w:rPr>
          <w:rStyle w:val="EndnoteReference"/>
          <w:rFonts w:eastAsia="Times New Roman" w:cs="Times New Roman"/>
        </w:rPr>
        <w:endnoteReference w:id="8"/>
      </w:r>
      <w:r w:rsidR="00D36692" w:rsidRPr="0067397B">
        <w:rPr>
          <w:rFonts w:eastAsia="Times New Roman" w:cs="Times New Roman"/>
        </w:rPr>
        <w:t xml:space="preserve">  </w:t>
      </w:r>
      <w:r w:rsidR="00D36692" w:rsidRPr="00C773BB">
        <w:rPr>
          <w:rFonts w:eastAsia="Times New Roman" w:cs="Times New Roman"/>
        </w:rPr>
        <w:t xml:space="preserve">In Marion County, </w:t>
      </w:r>
      <w:r w:rsidR="00A4755C" w:rsidRPr="00C773BB">
        <w:rPr>
          <w:rFonts w:eastAsia="Times New Roman" w:cs="Times New Roman"/>
        </w:rPr>
        <w:t xml:space="preserve">the rate of diabetes-related hospitalization is 48% higher for African Americans than whites </w:t>
      </w:r>
      <w:r w:rsidR="00C773BB">
        <w:rPr>
          <w:rFonts w:eastAsia="Times New Roman" w:cs="Times New Roman"/>
        </w:rPr>
        <w:t>(</w:t>
      </w:r>
      <w:r w:rsidR="00C773BB">
        <w:rPr>
          <w:rFonts w:eastAsia="Times New Roman" w:cs="Times New Roman"/>
        </w:rPr>
        <w:fldChar w:fldCharType="begin"/>
      </w:r>
      <w:r w:rsidR="00C773BB">
        <w:rPr>
          <w:rFonts w:eastAsia="Times New Roman" w:cs="Times New Roman"/>
        </w:rPr>
        <w:instrText xml:space="preserve"> REF _Ref451943855 \h </w:instrText>
      </w:r>
      <w:r w:rsidR="00C773BB">
        <w:rPr>
          <w:rFonts w:eastAsia="Times New Roman" w:cs="Times New Roman"/>
        </w:rPr>
      </w:r>
      <w:r w:rsidR="00C773BB">
        <w:rPr>
          <w:rFonts w:eastAsia="Times New Roman" w:cs="Times New Roman"/>
        </w:rPr>
        <w:fldChar w:fldCharType="separate"/>
      </w:r>
      <w:r w:rsidR="006F0DB7" w:rsidRPr="00C773BB">
        <w:t xml:space="preserve">Table </w:t>
      </w:r>
      <w:r w:rsidR="006F0DB7">
        <w:rPr>
          <w:noProof/>
        </w:rPr>
        <w:t>3</w:t>
      </w:r>
      <w:r w:rsidR="00C773BB">
        <w:rPr>
          <w:rFonts w:eastAsia="Times New Roman" w:cs="Times New Roman"/>
        </w:rPr>
        <w:fldChar w:fldCharType="end"/>
      </w:r>
      <w:r w:rsidR="00C773BB">
        <w:rPr>
          <w:rFonts w:eastAsia="Times New Roman" w:cs="Times New Roman"/>
        </w:rPr>
        <w:t>).</w:t>
      </w:r>
    </w:p>
    <w:p w:rsidR="00F02752" w:rsidRPr="00C773BB" w:rsidRDefault="00F02752" w:rsidP="00FF46E8">
      <w:pPr>
        <w:spacing w:after="120" w:line="240" w:lineRule="auto"/>
        <w:rPr>
          <w:rFonts w:eastAsia="Times New Roman" w:cs="Times New Roman"/>
          <w:color w:val="FF0000"/>
        </w:rPr>
      </w:pPr>
    </w:p>
    <w:p w:rsidR="00F02752" w:rsidRPr="00C773BB" w:rsidRDefault="00F02752" w:rsidP="00FF46E8">
      <w:pPr>
        <w:spacing w:after="120"/>
        <w:rPr>
          <w:rFonts w:eastAsia="Times New Roman" w:cs="Times New Roman"/>
        </w:rPr>
      </w:pPr>
      <w:r w:rsidRPr="00C773BB">
        <w:rPr>
          <w:b/>
          <w:bCs/>
        </w:rPr>
        <w:t>Diabetes-related Amputations:</w:t>
      </w:r>
      <w:r w:rsidR="0067397B" w:rsidRPr="0067397B">
        <w:t xml:space="preserve"> </w:t>
      </w:r>
      <w:r w:rsidR="0067397B">
        <w:t xml:space="preserve"> </w:t>
      </w:r>
      <w:r w:rsidR="0067397B" w:rsidRPr="0067397B">
        <w:rPr>
          <w:bCs/>
        </w:rPr>
        <w:t xml:space="preserve">In 2010, about 73,000 non-traumatic lower-limb amputations were performed in </w:t>
      </w:r>
      <w:r w:rsidR="006D7F18">
        <w:rPr>
          <w:bCs/>
        </w:rPr>
        <w:t>Americans</w:t>
      </w:r>
      <w:r w:rsidR="0067397B" w:rsidRPr="0067397B">
        <w:rPr>
          <w:bCs/>
        </w:rPr>
        <w:t xml:space="preserve"> aged 20 years or older with diagnosed diabetes.</w:t>
      </w:r>
      <w:bookmarkStart w:id="12" w:name="_Ref451945121"/>
      <w:r w:rsidR="006D7F18">
        <w:rPr>
          <w:rStyle w:val="EndnoteReference"/>
          <w:bCs/>
        </w:rPr>
        <w:endnoteReference w:id="9"/>
      </w:r>
      <w:bookmarkEnd w:id="12"/>
      <w:r w:rsidR="0067397B" w:rsidRPr="0067397B">
        <w:rPr>
          <w:b/>
          <w:bCs/>
        </w:rPr>
        <w:t xml:space="preserve"> </w:t>
      </w:r>
      <w:r w:rsidR="006D7F18">
        <w:rPr>
          <w:b/>
          <w:bCs/>
        </w:rPr>
        <w:t xml:space="preserve"> </w:t>
      </w:r>
      <w:r w:rsidRPr="00C773BB">
        <w:rPr>
          <w:rFonts w:eastAsia="Times New Roman" w:cs="Times New Roman"/>
          <w:color w:val="000000"/>
        </w:rPr>
        <w:t>Marion County r</w:t>
      </w:r>
      <w:r w:rsidRPr="00C773BB">
        <w:rPr>
          <w:rFonts w:eastAsia="Times New Roman" w:cs="Times New Roman"/>
        </w:rPr>
        <w:t>ates of non-trauma related lower-limb amputat</w:t>
      </w:r>
      <w:r w:rsidR="009A18F2" w:rsidRPr="00C773BB">
        <w:rPr>
          <w:rFonts w:eastAsia="Times New Roman" w:cs="Times New Roman"/>
        </w:rPr>
        <w:t>ions have increased slightly since 2008 to 38.1</w:t>
      </w:r>
      <w:r w:rsidRPr="00C773BB">
        <w:rPr>
          <w:rFonts w:eastAsia="Times New Roman" w:cs="Times New Roman"/>
        </w:rPr>
        <w:t xml:space="preserve"> amputations per 100,000 in </w:t>
      </w:r>
      <w:r w:rsidR="00C206E5" w:rsidRPr="00C773BB">
        <w:rPr>
          <w:rFonts w:eastAsia="Times New Roman" w:cs="Times New Roman"/>
        </w:rPr>
        <w:t xml:space="preserve">2013 </w:t>
      </w:r>
      <w:r w:rsidR="006D7F18">
        <w:rPr>
          <w:rFonts w:eastAsia="Times New Roman" w:cs="Times New Roman"/>
        </w:rPr>
        <w:t>(</w:t>
      </w:r>
      <w:r w:rsidR="006D7F18" w:rsidRPr="006D7F18">
        <w:rPr>
          <w:rFonts w:eastAsia="Times New Roman" w:cs="Times New Roman"/>
        </w:rPr>
        <w:fldChar w:fldCharType="begin"/>
      </w:r>
      <w:r w:rsidR="006D7F18" w:rsidRPr="006D7F18">
        <w:rPr>
          <w:rFonts w:eastAsia="Times New Roman" w:cs="Times New Roman"/>
        </w:rPr>
        <w:instrText xml:space="preserve"> REF _Ref451943612 \h  \* MERGEFORMAT </w:instrText>
      </w:r>
      <w:r w:rsidR="006D7F18" w:rsidRPr="006D7F18">
        <w:rPr>
          <w:rFonts w:eastAsia="Times New Roman" w:cs="Times New Roman"/>
        </w:rPr>
      </w:r>
      <w:r w:rsidR="006D7F18" w:rsidRPr="006D7F18">
        <w:rPr>
          <w:rFonts w:eastAsia="Times New Roman" w:cs="Times New Roman"/>
        </w:rPr>
        <w:fldChar w:fldCharType="separate"/>
      </w:r>
      <w:r w:rsidR="006F0DB7" w:rsidRPr="006F0DB7">
        <w:rPr>
          <w:sz w:val="20"/>
          <w:szCs w:val="20"/>
        </w:rPr>
        <w:t xml:space="preserve">Figure </w:t>
      </w:r>
      <w:r w:rsidR="006F0DB7" w:rsidRPr="006F0DB7">
        <w:rPr>
          <w:noProof/>
          <w:sz w:val="20"/>
          <w:szCs w:val="20"/>
        </w:rPr>
        <w:t>5</w:t>
      </w:r>
      <w:r w:rsidR="006D7F18" w:rsidRPr="006D7F18">
        <w:rPr>
          <w:rFonts w:eastAsia="Times New Roman" w:cs="Times New Roman"/>
        </w:rPr>
        <w:fldChar w:fldCharType="end"/>
      </w:r>
      <w:r w:rsidR="006D7F18">
        <w:rPr>
          <w:rFonts w:eastAsia="Times New Roman" w:cs="Times New Roman"/>
        </w:rPr>
        <w:t>)</w:t>
      </w:r>
      <w:r w:rsidRPr="00C773BB">
        <w:rPr>
          <w:rFonts w:eastAsia="Times New Roman" w:cs="Times New Roman"/>
        </w:rPr>
        <w:t>.  While county discharge data cannot distinguish patients with or without diabetes, national estimates indicate 60% of non-trauma amputations occur in patients with diabetes.</w:t>
      </w:r>
      <w:r w:rsidR="00F17D81" w:rsidRPr="00F17D81">
        <w:rPr>
          <w:rFonts w:eastAsia="Times New Roman" w:cs="Times New Roman"/>
          <w:vertAlign w:val="superscript"/>
        </w:rPr>
        <w:fldChar w:fldCharType="begin"/>
      </w:r>
      <w:r w:rsidR="00F17D81" w:rsidRPr="00F17D81">
        <w:rPr>
          <w:rFonts w:eastAsia="Times New Roman" w:cs="Times New Roman"/>
          <w:vertAlign w:val="superscript"/>
        </w:rPr>
        <w:instrText xml:space="preserve"> NOTEREF _Ref451945121 \h </w:instrText>
      </w:r>
      <w:r w:rsidR="00F17D81">
        <w:rPr>
          <w:rFonts w:eastAsia="Times New Roman" w:cs="Times New Roman"/>
          <w:vertAlign w:val="superscript"/>
        </w:rPr>
        <w:instrText xml:space="preserve"> \* MERGEFORMAT </w:instrText>
      </w:r>
      <w:r w:rsidR="00F17D81" w:rsidRPr="00F17D81">
        <w:rPr>
          <w:rFonts w:eastAsia="Times New Roman" w:cs="Times New Roman"/>
          <w:vertAlign w:val="superscript"/>
        </w:rPr>
      </w:r>
      <w:r w:rsidR="00F17D81" w:rsidRPr="00F17D81">
        <w:rPr>
          <w:rFonts w:eastAsia="Times New Roman" w:cs="Times New Roman"/>
          <w:vertAlign w:val="superscript"/>
        </w:rPr>
        <w:fldChar w:fldCharType="separate"/>
      </w:r>
      <w:r w:rsidR="006F0DB7">
        <w:rPr>
          <w:rFonts w:eastAsia="Times New Roman" w:cs="Times New Roman"/>
          <w:vertAlign w:val="superscript"/>
        </w:rPr>
        <w:t>9</w:t>
      </w:r>
      <w:r w:rsidR="00F17D81" w:rsidRPr="00F17D81">
        <w:rPr>
          <w:rFonts w:eastAsia="Times New Roman" w:cs="Times New Roman"/>
          <w:vertAlign w:val="superscript"/>
        </w:rPr>
        <w:fldChar w:fldCharType="end"/>
      </w:r>
      <w:r w:rsidRPr="00F17D81">
        <w:rPr>
          <w:rFonts w:eastAsia="Times New Roman" w:cs="Times New Roman"/>
          <w:vertAlign w:val="superscript"/>
        </w:rPr>
        <w:t xml:space="preserve"> </w:t>
      </w:r>
      <w:r w:rsidR="003466E8" w:rsidRPr="00C773BB">
        <w:rPr>
          <w:rFonts w:eastAsia="Times New Roman" w:cs="Times New Roman"/>
        </w:rPr>
        <w:t>The rate of non-trauma related lower-limb amputations was 28% higher among Marion County Blacks than Marion County Whites in 2013</w:t>
      </w:r>
      <w:r w:rsidR="00F17D81">
        <w:rPr>
          <w:rFonts w:eastAsia="Times New Roman" w:cs="Times New Roman"/>
        </w:rPr>
        <w:t xml:space="preserve"> (</w:t>
      </w:r>
      <w:r w:rsidR="00F17D81">
        <w:rPr>
          <w:rFonts w:eastAsia="Times New Roman" w:cs="Times New Roman"/>
        </w:rPr>
        <w:fldChar w:fldCharType="begin"/>
      </w:r>
      <w:r w:rsidR="00F17D81">
        <w:rPr>
          <w:rFonts w:eastAsia="Times New Roman" w:cs="Times New Roman"/>
        </w:rPr>
        <w:instrText xml:space="preserve"> REF _Ref451943855 \h </w:instrText>
      </w:r>
      <w:r w:rsidR="00F17D81">
        <w:rPr>
          <w:rFonts w:eastAsia="Times New Roman" w:cs="Times New Roman"/>
        </w:rPr>
      </w:r>
      <w:r w:rsidR="00F17D81">
        <w:rPr>
          <w:rFonts w:eastAsia="Times New Roman" w:cs="Times New Roman"/>
        </w:rPr>
        <w:fldChar w:fldCharType="separate"/>
      </w:r>
      <w:r w:rsidR="006F0DB7" w:rsidRPr="00C773BB">
        <w:t xml:space="preserve">Table </w:t>
      </w:r>
      <w:r w:rsidR="006F0DB7">
        <w:rPr>
          <w:noProof/>
        </w:rPr>
        <w:t>3</w:t>
      </w:r>
      <w:r w:rsidR="00F17D81">
        <w:rPr>
          <w:rFonts w:eastAsia="Times New Roman" w:cs="Times New Roman"/>
        </w:rPr>
        <w:fldChar w:fldCharType="end"/>
      </w:r>
      <w:r w:rsidR="00F17D81">
        <w:rPr>
          <w:rFonts w:eastAsia="Times New Roman" w:cs="Times New Roman"/>
        </w:rPr>
        <w:t>)</w:t>
      </w:r>
      <w:r w:rsidR="003466E8" w:rsidRPr="00C773BB">
        <w:rPr>
          <w:rFonts w:eastAsia="Times New Roman" w:cs="Times New Roman"/>
        </w:rPr>
        <w:t xml:space="preserve">. </w:t>
      </w:r>
    </w:p>
    <w:p w:rsidR="00F02752" w:rsidRPr="000473F0" w:rsidRDefault="00F02752" w:rsidP="00FF46E8">
      <w:pPr>
        <w:spacing w:after="120" w:line="240" w:lineRule="auto"/>
        <w:rPr>
          <w:rFonts w:eastAsia="Times New Roman" w:cs="Times New Roman"/>
          <w:color w:val="FF0000"/>
          <w:sz w:val="24"/>
          <w:szCs w:val="24"/>
        </w:rPr>
      </w:pPr>
    </w:p>
    <w:p w:rsidR="00C773BB" w:rsidRPr="00C773BB" w:rsidRDefault="00C773BB" w:rsidP="00FF46E8">
      <w:pPr>
        <w:keepNext/>
        <w:spacing w:after="120" w:line="240" w:lineRule="auto"/>
        <w:rPr>
          <w:rFonts w:eastAsia="Arial Unicode MS" w:cs="Times New Roman"/>
          <w:b/>
          <w:bCs/>
          <w:sz w:val="20"/>
          <w:szCs w:val="20"/>
        </w:rPr>
      </w:pPr>
      <w:bookmarkStart w:id="13" w:name="_Ref451943612"/>
      <w:bookmarkStart w:id="14" w:name="_Ref451943606"/>
      <w:r w:rsidRPr="00C773BB">
        <w:rPr>
          <w:b/>
          <w:sz w:val="20"/>
          <w:szCs w:val="20"/>
        </w:rPr>
        <w:t xml:space="preserve">Figure </w:t>
      </w:r>
      <w:r w:rsidRPr="00C773BB">
        <w:rPr>
          <w:b/>
          <w:sz w:val="20"/>
          <w:szCs w:val="20"/>
        </w:rPr>
        <w:fldChar w:fldCharType="begin"/>
      </w:r>
      <w:r w:rsidRPr="00C773BB">
        <w:rPr>
          <w:b/>
          <w:sz w:val="20"/>
          <w:szCs w:val="20"/>
        </w:rPr>
        <w:instrText xml:space="preserve"> SEQ Figure \* ARABIC </w:instrText>
      </w:r>
      <w:r w:rsidRPr="00C773BB">
        <w:rPr>
          <w:b/>
          <w:sz w:val="20"/>
          <w:szCs w:val="20"/>
        </w:rPr>
        <w:fldChar w:fldCharType="separate"/>
      </w:r>
      <w:r w:rsidR="006F0DB7">
        <w:rPr>
          <w:b/>
          <w:noProof/>
          <w:sz w:val="20"/>
          <w:szCs w:val="20"/>
        </w:rPr>
        <w:t>5</w:t>
      </w:r>
      <w:r w:rsidRPr="00C773BB">
        <w:rPr>
          <w:b/>
          <w:sz w:val="20"/>
          <w:szCs w:val="20"/>
        </w:rPr>
        <w:fldChar w:fldCharType="end"/>
      </w:r>
      <w:bookmarkEnd w:id="13"/>
      <w:r w:rsidRPr="00C773BB">
        <w:rPr>
          <w:b/>
          <w:sz w:val="20"/>
          <w:szCs w:val="20"/>
        </w:rPr>
        <w:t>:</w:t>
      </w:r>
      <w:r w:rsidRPr="00C773BB">
        <w:rPr>
          <w:rFonts w:eastAsia="Arial Unicode MS" w:cs="Times New Roman"/>
          <w:b/>
          <w:bCs/>
          <w:sz w:val="20"/>
          <w:szCs w:val="20"/>
        </w:rPr>
        <w:t xml:space="preserve"> Marion County Diabetes-related Hospitalizations and Amputations, 2008-2013.</w:t>
      </w:r>
      <w:bookmarkEnd w:id="14"/>
      <w:r w:rsidRPr="00C773BB">
        <w:rPr>
          <w:rFonts w:eastAsia="Arial Unicode MS" w:cs="Times New Roman"/>
          <w:b/>
          <w:bCs/>
          <w:sz w:val="20"/>
          <w:szCs w:val="20"/>
        </w:rPr>
        <w:t xml:space="preserve"> </w:t>
      </w:r>
    </w:p>
    <w:p w:rsidR="00C773BB" w:rsidRPr="00C773BB" w:rsidRDefault="00C773BB" w:rsidP="00FF46E8">
      <w:pPr>
        <w:pStyle w:val="Caption"/>
        <w:keepNext/>
        <w:spacing w:after="120"/>
        <w:rPr>
          <w:sz w:val="20"/>
          <w:szCs w:val="20"/>
        </w:rPr>
      </w:pPr>
    </w:p>
    <w:p w:rsidR="00F02752" w:rsidRDefault="00BB61C9" w:rsidP="00FF46E8">
      <w:pPr>
        <w:keepNext/>
        <w:spacing w:after="120"/>
      </w:pPr>
      <w:r>
        <w:rPr>
          <w:noProof/>
          <w:sz w:val="20"/>
          <w:szCs w:val="20"/>
        </w:rPr>
        <w:drawing>
          <wp:inline distT="0" distB="0" distL="0" distR="0" wp14:anchorId="508AD586" wp14:editId="792E6818">
            <wp:extent cx="5240740" cy="3098042"/>
            <wp:effectExtent l="0" t="0" r="17145"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7393A" w:rsidRDefault="00C773BB" w:rsidP="00A7393A">
      <w:pPr>
        <w:pStyle w:val="Caption"/>
        <w:spacing w:after="120"/>
        <w:rPr>
          <w:noProof/>
          <w:color w:val="auto"/>
        </w:rPr>
      </w:pPr>
      <w:r>
        <w:rPr>
          <w:color w:val="auto"/>
        </w:rPr>
        <w:t>Source</w:t>
      </w:r>
      <w:r w:rsidR="00F02752" w:rsidRPr="00F02752">
        <w:rPr>
          <w:noProof/>
          <w:color w:val="auto"/>
        </w:rPr>
        <w:t>: Marion County hospital discharge data; U.S. Census Data; DR2851; DR1260</w:t>
      </w:r>
    </w:p>
    <w:p w:rsidR="00A7393A" w:rsidRDefault="00A7393A" w:rsidP="00A7393A"/>
    <w:p w:rsidR="000B2D34" w:rsidRPr="00A7393A" w:rsidRDefault="000B2D34" w:rsidP="00A7393A"/>
    <w:p w:rsidR="00C773BB" w:rsidRPr="00C773BB" w:rsidRDefault="00C773BB" w:rsidP="00FF46E8">
      <w:pPr>
        <w:pStyle w:val="Caption"/>
        <w:keepNext/>
        <w:spacing w:after="120"/>
        <w:rPr>
          <w:color w:val="auto"/>
        </w:rPr>
      </w:pPr>
      <w:bookmarkStart w:id="15" w:name="_Ref451943855"/>
      <w:r w:rsidRPr="00C773BB">
        <w:rPr>
          <w:color w:val="auto"/>
        </w:rPr>
        <w:t xml:space="preserve">Table </w:t>
      </w:r>
      <w:r w:rsidRPr="00C773BB">
        <w:rPr>
          <w:color w:val="auto"/>
        </w:rPr>
        <w:fldChar w:fldCharType="begin"/>
      </w:r>
      <w:r w:rsidRPr="00C773BB">
        <w:rPr>
          <w:color w:val="auto"/>
        </w:rPr>
        <w:instrText xml:space="preserve"> SEQ Table \* ARABIC </w:instrText>
      </w:r>
      <w:r w:rsidRPr="00C773BB">
        <w:rPr>
          <w:color w:val="auto"/>
        </w:rPr>
        <w:fldChar w:fldCharType="separate"/>
      </w:r>
      <w:r w:rsidR="006F0DB7">
        <w:rPr>
          <w:noProof/>
          <w:color w:val="auto"/>
        </w:rPr>
        <w:t>3</w:t>
      </w:r>
      <w:r w:rsidRPr="00C773BB">
        <w:rPr>
          <w:color w:val="auto"/>
        </w:rPr>
        <w:fldChar w:fldCharType="end"/>
      </w:r>
      <w:bookmarkEnd w:id="15"/>
      <w:r w:rsidRPr="00C773BB">
        <w:rPr>
          <w:color w:val="auto"/>
        </w:rPr>
        <w:t>: Marion County diabetes hospitalizations and lower-limb amputations by race, 2013</w:t>
      </w: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3"/>
        <w:gridCol w:w="3191"/>
      </w:tblGrid>
      <w:tr w:rsidR="001B7FAE" w:rsidRPr="001B7FAE" w:rsidTr="004D223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7" w:type="pct"/>
          </w:tcPr>
          <w:p w:rsidR="001B7FAE" w:rsidRPr="00A129D0" w:rsidRDefault="001B7FAE" w:rsidP="00FF46E8">
            <w:pPr>
              <w:spacing w:after="120"/>
              <w:jc w:val="center"/>
            </w:pPr>
            <w:r>
              <w:t>Race</w:t>
            </w:r>
          </w:p>
        </w:tc>
        <w:tc>
          <w:tcPr>
            <w:tcW w:w="1667" w:type="pct"/>
          </w:tcPr>
          <w:p w:rsidR="001B7FAE" w:rsidRPr="00A129D0" w:rsidRDefault="001B7FAE" w:rsidP="00FF46E8">
            <w:pPr>
              <w:spacing w:after="120"/>
              <w:jc w:val="center"/>
              <w:cnfStyle w:val="100000000000" w:firstRow="1" w:lastRow="0" w:firstColumn="0" w:lastColumn="0" w:oddVBand="0" w:evenVBand="0" w:oddHBand="0" w:evenHBand="0" w:firstRowFirstColumn="0" w:firstRowLastColumn="0" w:lastRowFirstColumn="0" w:lastRowLastColumn="0"/>
            </w:pPr>
            <w:r>
              <w:t>Diabetes Hospitalizations (per 100,000 population)</w:t>
            </w:r>
          </w:p>
        </w:tc>
        <w:tc>
          <w:tcPr>
            <w:tcW w:w="1666" w:type="pct"/>
          </w:tcPr>
          <w:p w:rsidR="001B7FAE" w:rsidRPr="00A129D0" w:rsidRDefault="001B7FAE" w:rsidP="00FF46E8">
            <w:pPr>
              <w:spacing w:after="120"/>
              <w:jc w:val="center"/>
              <w:cnfStyle w:val="100000000000" w:firstRow="1" w:lastRow="0" w:firstColumn="0" w:lastColumn="0" w:oddVBand="0" w:evenVBand="0" w:oddHBand="0" w:evenHBand="0" w:firstRowFirstColumn="0" w:firstRowLastColumn="0" w:lastRowFirstColumn="0" w:lastRowLastColumn="0"/>
            </w:pPr>
            <w:r>
              <w:t>Lower-limb Amputations (per 100,000 population)</w:t>
            </w:r>
          </w:p>
        </w:tc>
      </w:tr>
      <w:tr w:rsidR="001B7FAE" w:rsidRPr="001B7FAE" w:rsidTr="004D223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rsidR="001B7FAE" w:rsidRPr="00A129D0" w:rsidRDefault="001B7FAE" w:rsidP="00FF46E8">
            <w:pPr>
              <w:spacing w:after="120"/>
              <w:jc w:val="center"/>
            </w:pPr>
            <w:r>
              <w:t>African American</w:t>
            </w:r>
          </w:p>
        </w:tc>
        <w:tc>
          <w:tcPr>
            <w:tcW w:w="1667" w:type="pct"/>
            <w:tcBorders>
              <w:top w:val="none" w:sz="0" w:space="0" w:color="auto"/>
              <w:bottom w:val="none" w:sz="0" w:space="0" w:color="auto"/>
            </w:tcBorders>
          </w:tcPr>
          <w:p w:rsidR="001B7FAE" w:rsidRPr="00A129D0" w:rsidRDefault="00BC57A0" w:rsidP="00FF46E8">
            <w:pPr>
              <w:spacing w:after="120"/>
              <w:jc w:val="center"/>
              <w:cnfStyle w:val="000000100000" w:firstRow="0" w:lastRow="0" w:firstColumn="0" w:lastColumn="0" w:oddVBand="0" w:evenVBand="0" w:oddHBand="1" w:evenHBand="0" w:firstRowFirstColumn="0" w:firstRowLastColumn="0" w:lastRowFirstColumn="0" w:lastRowLastColumn="0"/>
            </w:pPr>
            <w:r>
              <w:t>268.9</w:t>
            </w:r>
          </w:p>
        </w:tc>
        <w:tc>
          <w:tcPr>
            <w:tcW w:w="1666" w:type="pct"/>
            <w:tcBorders>
              <w:top w:val="none" w:sz="0" w:space="0" w:color="auto"/>
              <w:bottom w:val="none" w:sz="0" w:space="0" w:color="auto"/>
              <w:right w:val="none" w:sz="0" w:space="0" w:color="auto"/>
            </w:tcBorders>
          </w:tcPr>
          <w:p w:rsidR="001B7FAE" w:rsidRPr="00A129D0" w:rsidRDefault="001B7FAE" w:rsidP="00FF46E8">
            <w:pPr>
              <w:spacing w:after="120"/>
              <w:jc w:val="center"/>
              <w:cnfStyle w:val="000000100000" w:firstRow="0" w:lastRow="0" w:firstColumn="0" w:lastColumn="0" w:oddVBand="0" w:evenVBand="0" w:oddHBand="1" w:evenHBand="0" w:firstRowFirstColumn="0" w:firstRowLastColumn="0" w:lastRowFirstColumn="0" w:lastRowLastColumn="0"/>
            </w:pPr>
            <w:r>
              <w:t>5</w:t>
            </w:r>
            <w:r w:rsidR="00BC57A0">
              <w:t>1</w:t>
            </w:r>
            <w:r>
              <w:t>.0</w:t>
            </w:r>
          </w:p>
        </w:tc>
      </w:tr>
      <w:tr w:rsidR="001B7FAE" w:rsidRPr="001B7FAE" w:rsidTr="004D223B">
        <w:trPr>
          <w:trHeight w:val="290"/>
        </w:trPr>
        <w:tc>
          <w:tcPr>
            <w:cnfStyle w:val="001000000000" w:firstRow="0" w:lastRow="0" w:firstColumn="1" w:lastColumn="0" w:oddVBand="0" w:evenVBand="0" w:oddHBand="0" w:evenHBand="0" w:firstRowFirstColumn="0" w:firstRowLastColumn="0" w:lastRowFirstColumn="0" w:lastRowLastColumn="0"/>
            <w:tcW w:w="1667" w:type="pct"/>
          </w:tcPr>
          <w:p w:rsidR="001B7FAE" w:rsidRPr="00A129D0" w:rsidRDefault="001B7FAE" w:rsidP="00FF46E8">
            <w:pPr>
              <w:spacing w:after="120"/>
              <w:jc w:val="center"/>
            </w:pPr>
            <w:r>
              <w:t>White</w:t>
            </w:r>
          </w:p>
        </w:tc>
        <w:tc>
          <w:tcPr>
            <w:tcW w:w="1667" w:type="pct"/>
          </w:tcPr>
          <w:p w:rsidR="001B7FAE" w:rsidRPr="00A129D0" w:rsidRDefault="00BC57A0" w:rsidP="00FF46E8">
            <w:pPr>
              <w:spacing w:after="120"/>
              <w:jc w:val="center"/>
              <w:cnfStyle w:val="000000000000" w:firstRow="0" w:lastRow="0" w:firstColumn="0" w:lastColumn="0" w:oddVBand="0" w:evenVBand="0" w:oddHBand="0" w:evenHBand="0" w:firstRowFirstColumn="0" w:firstRowLastColumn="0" w:lastRowFirstColumn="0" w:lastRowLastColumn="0"/>
            </w:pPr>
            <w:r>
              <w:t>182.3</w:t>
            </w:r>
          </w:p>
        </w:tc>
        <w:tc>
          <w:tcPr>
            <w:tcW w:w="1666" w:type="pct"/>
          </w:tcPr>
          <w:p w:rsidR="001B7FAE" w:rsidRPr="00A129D0" w:rsidRDefault="00BC57A0" w:rsidP="00FF46E8">
            <w:pPr>
              <w:spacing w:after="120"/>
              <w:jc w:val="center"/>
              <w:cnfStyle w:val="000000000000" w:firstRow="0" w:lastRow="0" w:firstColumn="0" w:lastColumn="0" w:oddVBand="0" w:evenVBand="0" w:oddHBand="0" w:evenHBand="0" w:firstRowFirstColumn="0" w:firstRowLastColumn="0" w:lastRowFirstColumn="0" w:lastRowLastColumn="0"/>
            </w:pPr>
            <w:r>
              <w:t>34</w:t>
            </w:r>
            <w:r w:rsidR="001B7FAE">
              <w:t>.7</w:t>
            </w:r>
          </w:p>
        </w:tc>
      </w:tr>
      <w:tr w:rsidR="001B7FAE" w:rsidRPr="001B7FAE" w:rsidTr="004D223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rsidR="001B7FAE" w:rsidRPr="00A129D0" w:rsidRDefault="001B7FAE" w:rsidP="00FF46E8">
            <w:pPr>
              <w:spacing w:after="120"/>
              <w:jc w:val="center"/>
            </w:pPr>
            <w:r>
              <w:t>Total</w:t>
            </w:r>
          </w:p>
        </w:tc>
        <w:tc>
          <w:tcPr>
            <w:tcW w:w="1667" w:type="pct"/>
            <w:tcBorders>
              <w:top w:val="none" w:sz="0" w:space="0" w:color="auto"/>
              <w:bottom w:val="none" w:sz="0" w:space="0" w:color="auto"/>
            </w:tcBorders>
          </w:tcPr>
          <w:p w:rsidR="001B7FAE" w:rsidRPr="00A129D0" w:rsidRDefault="00BC57A0" w:rsidP="00FF46E8">
            <w:pPr>
              <w:spacing w:after="120"/>
              <w:jc w:val="center"/>
              <w:cnfStyle w:val="000000100000" w:firstRow="0" w:lastRow="0" w:firstColumn="0" w:lastColumn="0" w:oddVBand="0" w:evenVBand="0" w:oddHBand="1" w:evenHBand="0" w:firstRowFirstColumn="0" w:firstRowLastColumn="0" w:lastRowFirstColumn="0" w:lastRowLastColumn="0"/>
            </w:pPr>
            <w:r>
              <w:t>214.0</w:t>
            </w:r>
          </w:p>
        </w:tc>
        <w:tc>
          <w:tcPr>
            <w:tcW w:w="1666" w:type="pct"/>
            <w:tcBorders>
              <w:top w:val="none" w:sz="0" w:space="0" w:color="auto"/>
              <w:bottom w:val="none" w:sz="0" w:space="0" w:color="auto"/>
              <w:right w:val="none" w:sz="0" w:space="0" w:color="auto"/>
            </w:tcBorders>
          </w:tcPr>
          <w:p w:rsidR="001B7FAE" w:rsidRPr="00A129D0" w:rsidRDefault="001B7FAE" w:rsidP="00FF46E8">
            <w:pPr>
              <w:keepNext/>
              <w:spacing w:after="120"/>
              <w:jc w:val="center"/>
              <w:cnfStyle w:val="000000100000" w:firstRow="0" w:lastRow="0" w:firstColumn="0" w:lastColumn="0" w:oddVBand="0" w:evenVBand="0" w:oddHBand="1" w:evenHBand="0" w:firstRowFirstColumn="0" w:firstRowLastColumn="0" w:lastRowFirstColumn="0" w:lastRowLastColumn="0"/>
            </w:pPr>
            <w:r>
              <w:t>39.7</w:t>
            </w:r>
          </w:p>
        </w:tc>
      </w:tr>
    </w:tbl>
    <w:p w:rsidR="00EA3F27" w:rsidRDefault="001B7FAE" w:rsidP="00FF46E8">
      <w:pPr>
        <w:pStyle w:val="Caption"/>
        <w:spacing w:after="120"/>
        <w:rPr>
          <w:color w:val="auto"/>
        </w:rPr>
      </w:pPr>
      <w:r w:rsidRPr="001B7FAE">
        <w:rPr>
          <w:color w:val="auto"/>
        </w:rPr>
        <w:t>Sources: Marion County hospital discharge data; U.S. Census Data; DR2851</w:t>
      </w:r>
    </w:p>
    <w:p w:rsidR="008412BA" w:rsidRDefault="008412BA" w:rsidP="00FF46E8">
      <w:pPr>
        <w:spacing w:after="120"/>
        <w:rPr>
          <w:b/>
        </w:rPr>
      </w:pPr>
    </w:p>
    <w:p w:rsidR="00F17D81" w:rsidRPr="00F17D81" w:rsidRDefault="00F17D81" w:rsidP="00FF46E8">
      <w:pPr>
        <w:pStyle w:val="Caption"/>
        <w:keepNext/>
        <w:spacing w:after="120"/>
        <w:rPr>
          <w:color w:val="auto"/>
        </w:rPr>
      </w:pPr>
      <w:r w:rsidRPr="00F17D81">
        <w:rPr>
          <w:color w:val="auto"/>
        </w:rPr>
        <w:t xml:space="preserve">Figure </w:t>
      </w:r>
      <w:r w:rsidRPr="00F17D81">
        <w:rPr>
          <w:color w:val="auto"/>
        </w:rPr>
        <w:fldChar w:fldCharType="begin"/>
      </w:r>
      <w:r w:rsidRPr="00F17D81">
        <w:rPr>
          <w:color w:val="auto"/>
        </w:rPr>
        <w:instrText xml:space="preserve"> SEQ Figure \* ARABIC </w:instrText>
      </w:r>
      <w:r w:rsidRPr="00F17D81">
        <w:rPr>
          <w:color w:val="auto"/>
        </w:rPr>
        <w:fldChar w:fldCharType="separate"/>
      </w:r>
      <w:r w:rsidR="006F0DB7">
        <w:rPr>
          <w:noProof/>
          <w:color w:val="auto"/>
        </w:rPr>
        <w:t>6</w:t>
      </w:r>
      <w:r w:rsidRPr="00F17D81">
        <w:rPr>
          <w:color w:val="auto"/>
        </w:rPr>
        <w:fldChar w:fldCharType="end"/>
      </w:r>
      <w:r w:rsidRPr="00F17D81">
        <w:rPr>
          <w:color w:val="auto"/>
        </w:rPr>
        <w:t>:  Marion County Diabetes-related Hospitalizations and Total Non-trauma related Amputations, per 100,000 population: 2013</w:t>
      </w:r>
      <w:r>
        <w:rPr>
          <w:color w:val="auto"/>
        </w:rPr>
        <w:t>.</w:t>
      </w:r>
    </w:p>
    <w:p w:rsidR="00F82DFD" w:rsidRDefault="00F82DFD" w:rsidP="00FF46E8">
      <w:pPr>
        <w:spacing w:after="120"/>
      </w:pPr>
      <w:r>
        <w:rPr>
          <w:noProof/>
        </w:rPr>
        <w:drawing>
          <wp:inline distT="0" distB="0" distL="0" distR="0" wp14:anchorId="045C4893" wp14:editId="6358D96F">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121B6" w:rsidRDefault="008121B6" w:rsidP="00FF46E8">
      <w:pPr>
        <w:pStyle w:val="Caption"/>
        <w:spacing w:after="120"/>
        <w:rPr>
          <w:color w:val="auto"/>
        </w:rPr>
      </w:pPr>
      <w:r w:rsidRPr="001B7FAE">
        <w:rPr>
          <w:color w:val="auto"/>
        </w:rPr>
        <w:t>Sources: Marion County hospital discharge data; U.S. Census Data; DR2851</w:t>
      </w:r>
    </w:p>
    <w:p w:rsidR="008121B6" w:rsidRDefault="008121B6" w:rsidP="00FF46E8">
      <w:pPr>
        <w:spacing w:after="120"/>
      </w:pPr>
    </w:p>
    <w:p w:rsidR="00BA60A7" w:rsidRPr="00BA60A7" w:rsidRDefault="00BA60A7" w:rsidP="00FF46E8">
      <w:pPr>
        <w:keepNext/>
        <w:spacing w:after="120" w:line="240" w:lineRule="auto"/>
        <w:outlineLvl w:val="1"/>
        <w:rPr>
          <w:rFonts w:asciiTheme="majorHAnsi" w:eastAsia="Arial Unicode MS" w:hAnsiTheme="majorHAnsi" w:cs="Arial"/>
          <w:b/>
          <w:bCs/>
          <w:i/>
          <w:iCs/>
          <w:sz w:val="28"/>
          <w:szCs w:val="28"/>
        </w:rPr>
      </w:pPr>
      <w:r w:rsidRPr="00BA60A7">
        <w:rPr>
          <w:rFonts w:asciiTheme="majorHAnsi" w:eastAsia="Arial Unicode MS" w:hAnsiTheme="majorHAnsi" w:cs="Arial"/>
          <w:b/>
          <w:bCs/>
          <w:i/>
          <w:iCs/>
          <w:sz w:val="28"/>
          <w:szCs w:val="28"/>
        </w:rPr>
        <w:t>Diabetes Mortality</w:t>
      </w:r>
    </w:p>
    <w:p w:rsidR="00BA60A7" w:rsidRDefault="00BA60A7" w:rsidP="00FF46E8">
      <w:pPr>
        <w:spacing w:after="120" w:line="240" w:lineRule="auto"/>
        <w:rPr>
          <w:rFonts w:ascii="Times New Roman" w:eastAsia="Arial Unicode MS" w:hAnsi="Times New Roman" w:cs="Times New Roman"/>
          <w:sz w:val="24"/>
          <w:szCs w:val="24"/>
        </w:rPr>
      </w:pPr>
    </w:p>
    <w:p w:rsidR="00BA60A7" w:rsidRPr="0055100D" w:rsidRDefault="00BA60A7" w:rsidP="00FF46E8">
      <w:pPr>
        <w:spacing w:after="120"/>
        <w:rPr>
          <w:rFonts w:eastAsia="Arial Unicode MS" w:cs="Times New Roman"/>
        </w:rPr>
      </w:pPr>
      <w:r w:rsidRPr="0055100D">
        <w:rPr>
          <w:rFonts w:eastAsia="Arial Unicode MS" w:cs="Times New Roman"/>
        </w:rPr>
        <w:t>Nationally, diabetes ranks as the 7</w:t>
      </w:r>
      <w:r w:rsidRPr="0055100D">
        <w:rPr>
          <w:rFonts w:eastAsia="Arial Unicode MS" w:cs="Times New Roman"/>
          <w:vertAlign w:val="superscript"/>
        </w:rPr>
        <w:t>th</w:t>
      </w:r>
      <w:r w:rsidRPr="0055100D">
        <w:rPr>
          <w:rFonts w:eastAsia="Arial Unicode MS" w:cs="Times New Roman"/>
        </w:rPr>
        <w:t xml:space="preserve"> leading cause of death at </w:t>
      </w:r>
      <w:r w:rsidR="00F32253" w:rsidRPr="00F32253">
        <w:rPr>
          <w:rFonts w:eastAsia="Arial Unicode MS" w:cs="Times New Roman"/>
        </w:rPr>
        <w:t>21.2</w:t>
      </w:r>
      <w:r w:rsidRPr="00F32253">
        <w:rPr>
          <w:rFonts w:eastAsia="Arial Unicode MS" w:cs="Times New Roman"/>
        </w:rPr>
        <w:t xml:space="preserve"> </w:t>
      </w:r>
      <w:r w:rsidR="00F32253">
        <w:rPr>
          <w:rFonts w:eastAsia="Arial Unicode MS" w:cs="Times New Roman"/>
        </w:rPr>
        <w:t>deaths per 100,000 (2013</w:t>
      </w:r>
      <w:r w:rsidRPr="0055100D">
        <w:rPr>
          <w:rFonts w:eastAsia="Arial Unicode MS" w:cs="Times New Roman"/>
        </w:rPr>
        <w:t>).</w:t>
      </w:r>
      <w:r w:rsidR="00F32253">
        <w:rPr>
          <w:rStyle w:val="EndnoteReference"/>
          <w:rFonts w:eastAsia="Arial Unicode MS" w:cs="Times New Roman"/>
        </w:rPr>
        <w:endnoteReference w:id="10"/>
      </w:r>
      <w:r w:rsidRPr="0055100D">
        <w:rPr>
          <w:rFonts w:eastAsia="Arial Unicode MS" w:cs="Times New Roman"/>
        </w:rPr>
        <w:t xml:space="preserve">  </w:t>
      </w:r>
      <w:r w:rsidR="00F32253">
        <w:rPr>
          <w:rFonts w:eastAsia="Arial Unicode MS" w:cs="Times New Roman"/>
        </w:rPr>
        <w:t>However, d</w:t>
      </w:r>
      <w:r w:rsidR="00F32253" w:rsidRPr="00F32253">
        <w:rPr>
          <w:rFonts w:eastAsia="Arial Unicode MS" w:cs="Times New Roman"/>
        </w:rPr>
        <w:t xml:space="preserve">iabetes may be underreported as a cause of death. </w:t>
      </w:r>
      <w:r w:rsidR="00F32253">
        <w:rPr>
          <w:rFonts w:eastAsia="Arial Unicode MS" w:cs="Times New Roman"/>
        </w:rPr>
        <w:fldChar w:fldCharType="begin"/>
      </w:r>
      <w:r w:rsidR="00F32253">
        <w:rPr>
          <w:rFonts w:eastAsia="Arial Unicode MS" w:cs="Times New Roman"/>
        </w:rPr>
        <w:instrText xml:space="preserve"> NOTEREF _Ref451946436 \h  \* MERGEFORMAT </w:instrText>
      </w:r>
      <w:r w:rsidR="00F32253">
        <w:rPr>
          <w:rFonts w:eastAsia="Arial Unicode MS" w:cs="Times New Roman"/>
        </w:rPr>
      </w:r>
      <w:r w:rsidR="00F32253">
        <w:rPr>
          <w:rFonts w:eastAsia="Arial Unicode MS" w:cs="Times New Roman"/>
        </w:rPr>
        <w:fldChar w:fldCharType="separate"/>
      </w:r>
      <w:r w:rsidR="006F0DB7" w:rsidRPr="006F0DB7">
        <w:rPr>
          <w:rFonts w:eastAsia="Arial Unicode MS" w:cs="Times New Roman"/>
          <w:vertAlign w:val="superscript"/>
        </w:rPr>
        <w:t>11</w:t>
      </w:r>
      <w:r w:rsidR="00F32253">
        <w:rPr>
          <w:rFonts w:eastAsia="Arial Unicode MS" w:cs="Times New Roman"/>
        </w:rPr>
        <w:fldChar w:fldCharType="end"/>
      </w:r>
      <w:r w:rsidR="00F32253">
        <w:rPr>
          <w:rFonts w:eastAsia="Arial Unicode MS" w:cs="Times New Roman"/>
        </w:rPr>
        <w:t xml:space="preserve"> The</w:t>
      </w:r>
      <w:r w:rsidR="00F32253">
        <w:t xml:space="preserve"> </w:t>
      </w:r>
      <w:r w:rsidR="00F32253">
        <w:rPr>
          <w:rFonts w:eastAsia="Arial Unicode MS" w:cs="Times New Roman"/>
        </w:rPr>
        <w:t>rate of death from all causes is estimated to be</w:t>
      </w:r>
      <w:r w:rsidR="00F32253" w:rsidRPr="00F32253">
        <w:rPr>
          <w:rFonts w:eastAsia="Arial Unicode MS" w:cs="Times New Roman"/>
        </w:rPr>
        <w:t xml:space="preserve"> about</w:t>
      </w:r>
      <w:r w:rsidR="00F32253">
        <w:rPr>
          <w:rFonts w:eastAsia="Arial Unicode MS" w:cs="Times New Roman"/>
        </w:rPr>
        <w:t xml:space="preserve"> </w:t>
      </w:r>
      <w:r w:rsidR="00F32253" w:rsidRPr="00F32253">
        <w:rPr>
          <w:rFonts w:eastAsia="Arial Unicode MS" w:cs="Times New Roman"/>
        </w:rPr>
        <w:t>1.5 times higher among adults aged 18 years or older with diagnosed diabetes than among adults</w:t>
      </w:r>
      <w:r w:rsidR="00F32253">
        <w:rPr>
          <w:rFonts w:eastAsia="Arial Unicode MS" w:cs="Times New Roman"/>
        </w:rPr>
        <w:t xml:space="preserve"> without diagnosed diabetes</w:t>
      </w:r>
      <w:r w:rsidRPr="0055100D">
        <w:rPr>
          <w:rFonts w:eastAsia="Arial Unicode MS" w:cs="Times New Roman"/>
        </w:rPr>
        <w:t xml:space="preserve">. </w:t>
      </w:r>
      <w:bookmarkStart w:id="16" w:name="_Ref451946436"/>
      <w:r w:rsidR="00F32253">
        <w:rPr>
          <w:rStyle w:val="EndnoteReference"/>
          <w:rFonts w:eastAsia="Arial Unicode MS" w:cs="Times New Roman"/>
        </w:rPr>
        <w:endnoteReference w:id="11"/>
      </w:r>
      <w:bookmarkEnd w:id="16"/>
    </w:p>
    <w:p w:rsidR="00F32253" w:rsidRPr="00F82DFD" w:rsidRDefault="00E27D50" w:rsidP="00FF46E8">
      <w:pPr>
        <w:spacing w:after="120"/>
      </w:pPr>
      <w:r>
        <w:rPr>
          <w:rFonts w:eastAsia="Arial Unicode MS" w:cs="Times New Roman"/>
        </w:rPr>
        <w:t>In Marion County, t</w:t>
      </w:r>
      <w:r w:rsidR="00F32253">
        <w:rPr>
          <w:rFonts w:eastAsia="Arial Unicode MS" w:cs="Times New Roman"/>
        </w:rPr>
        <w:t xml:space="preserve">he age-adjusted diabetes mortality rate was 19 per 100,000 </w:t>
      </w:r>
      <w:proofErr w:type="gramStart"/>
      <w:r w:rsidR="00F32253">
        <w:rPr>
          <w:rFonts w:eastAsia="Arial Unicode MS" w:cs="Times New Roman"/>
        </w:rPr>
        <w:t>population</w:t>
      </w:r>
      <w:proofErr w:type="gramEnd"/>
      <w:r w:rsidR="00F32253">
        <w:rPr>
          <w:rFonts w:eastAsia="Arial Unicode MS" w:cs="Times New Roman"/>
        </w:rPr>
        <w:t xml:space="preserve"> in 2014 </w:t>
      </w:r>
      <w:r>
        <w:rPr>
          <w:rFonts w:eastAsia="Arial Unicode MS" w:cs="Times New Roman"/>
        </w:rPr>
        <w:t>which was lower than the rates for Indiana (24.4 per 100,000) and U.S. (21.2 per 100,000) (</w:t>
      </w:r>
      <w:r>
        <w:rPr>
          <w:rFonts w:eastAsia="Arial Unicode MS" w:cs="Times New Roman"/>
        </w:rPr>
        <w:fldChar w:fldCharType="begin"/>
      </w:r>
      <w:r>
        <w:rPr>
          <w:rFonts w:eastAsia="Arial Unicode MS" w:cs="Times New Roman"/>
        </w:rPr>
        <w:instrText xml:space="preserve"> REF _Ref451945759 \h </w:instrText>
      </w:r>
      <w:r>
        <w:rPr>
          <w:rFonts w:eastAsia="Arial Unicode MS" w:cs="Times New Roman"/>
        </w:rPr>
      </w:r>
      <w:r>
        <w:rPr>
          <w:rFonts w:eastAsia="Arial Unicode MS" w:cs="Times New Roman"/>
        </w:rPr>
        <w:fldChar w:fldCharType="separate"/>
      </w:r>
      <w:r w:rsidR="006F0DB7" w:rsidRPr="0055100D">
        <w:t xml:space="preserve">Table </w:t>
      </w:r>
      <w:r w:rsidR="006F0DB7">
        <w:rPr>
          <w:noProof/>
        </w:rPr>
        <w:t>4</w:t>
      </w:r>
      <w:r>
        <w:rPr>
          <w:rFonts w:eastAsia="Arial Unicode MS" w:cs="Times New Roman"/>
        </w:rPr>
        <w:fldChar w:fldCharType="end"/>
      </w:r>
      <w:r>
        <w:rPr>
          <w:rFonts w:eastAsia="Arial Unicode MS" w:cs="Times New Roman"/>
        </w:rPr>
        <w:t>).  However, diabetes was the 8</w:t>
      </w:r>
      <w:r w:rsidRPr="00E27D50">
        <w:rPr>
          <w:rFonts w:eastAsia="Arial Unicode MS" w:cs="Times New Roman"/>
          <w:vertAlign w:val="superscript"/>
        </w:rPr>
        <w:t>th</w:t>
      </w:r>
      <w:r>
        <w:rPr>
          <w:rFonts w:eastAsia="Arial Unicode MS" w:cs="Times New Roman"/>
        </w:rPr>
        <w:t xml:space="preserve"> leading cause of death for Marion County in 2014 (</w:t>
      </w:r>
      <w:r>
        <w:rPr>
          <w:rFonts w:eastAsia="Arial Unicode MS" w:cs="Times New Roman"/>
        </w:rPr>
        <w:fldChar w:fldCharType="begin"/>
      </w:r>
      <w:r>
        <w:rPr>
          <w:rFonts w:eastAsia="Arial Unicode MS" w:cs="Times New Roman"/>
        </w:rPr>
        <w:instrText xml:space="preserve"> REF _Ref451945759 \h </w:instrText>
      </w:r>
      <w:r>
        <w:rPr>
          <w:rFonts w:eastAsia="Arial Unicode MS" w:cs="Times New Roman"/>
        </w:rPr>
      </w:r>
      <w:r>
        <w:rPr>
          <w:rFonts w:eastAsia="Arial Unicode MS" w:cs="Times New Roman"/>
        </w:rPr>
        <w:fldChar w:fldCharType="separate"/>
      </w:r>
      <w:r w:rsidR="006F0DB7" w:rsidRPr="0055100D">
        <w:t xml:space="preserve">Table </w:t>
      </w:r>
      <w:r w:rsidR="006F0DB7">
        <w:rPr>
          <w:noProof/>
        </w:rPr>
        <w:t>4</w:t>
      </w:r>
      <w:r>
        <w:rPr>
          <w:rFonts w:eastAsia="Arial Unicode MS" w:cs="Times New Roman"/>
        </w:rPr>
        <w:fldChar w:fldCharType="end"/>
      </w:r>
      <w:r>
        <w:rPr>
          <w:rFonts w:eastAsia="Arial Unicode MS" w:cs="Times New Roman"/>
        </w:rPr>
        <w:t>).</w:t>
      </w:r>
      <w:r w:rsidR="00F32253">
        <w:rPr>
          <w:rFonts w:eastAsia="Arial Unicode MS" w:cs="Times New Roman"/>
        </w:rPr>
        <w:t xml:space="preserve"> </w:t>
      </w:r>
      <w:r>
        <w:rPr>
          <w:rFonts w:eastAsia="Arial Unicode MS" w:cs="Times New Roman"/>
        </w:rPr>
        <w:t xml:space="preserve">The </w:t>
      </w:r>
      <w:r w:rsidRPr="00F32253">
        <w:rPr>
          <w:rFonts w:eastAsia="Arial Unicode MS" w:cs="Times New Roman"/>
        </w:rPr>
        <w:t>diabetes mortality</w:t>
      </w:r>
      <w:r>
        <w:rPr>
          <w:rFonts w:eastAsia="Arial Unicode MS" w:cs="Times New Roman"/>
        </w:rPr>
        <w:t xml:space="preserve"> rate was</w:t>
      </w:r>
      <w:r w:rsidR="000C3138">
        <w:rPr>
          <w:rFonts w:eastAsia="Arial Unicode MS" w:cs="Times New Roman"/>
        </w:rPr>
        <w:t xml:space="preserve"> almost</w:t>
      </w:r>
      <w:r w:rsidRPr="00F32253">
        <w:rPr>
          <w:rFonts w:eastAsia="Arial Unicode MS" w:cs="Times New Roman"/>
        </w:rPr>
        <w:t xml:space="preserve"> 40% higher </w:t>
      </w:r>
      <w:r w:rsidR="000C3138" w:rsidRPr="000C3138">
        <w:rPr>
          <w:rFonts w:eastAsia="Arial Unicode MS" w:cs="Times New Roman"/>
        </w:rPr>
        <w:t xml:space="preserve">among African Americans </w:t>
      </w:r>
      <w:r w:rsidRPr="00F32253">
        <w:rPr>
          <w:rFonts w:eastAsia="Arial Unicode MS" w:cs="Times New Roman"/>
        </w:rPr>
        <w:t xml:space="preserve">than </w:t>
      </w:r>
      <w:r>
        <w:rPr>
          <w:rFonts w:eastAsia="Arial Unicode MS" w:cs="Times New Roman"/>
        </w:rPr>
        <w:t>among Whites in the county during 2014 (</w:t>
      </w:r>
      <w:r>
        <w:rPr>
          <w:rFonts w:eastAsia="Arial Unicode MS" w:cs="Times New Roman"/>
        </w:rPr>
        <w:fldChar w:fldCharType="begin"/>
      </w:r>
      <w:r>
        <w:rPr>
          <w:rFonts w:eastAsia="Arial Unicode MS" w:cs="Times New Roman"/>
        </w:rPr>
        <w:instrText xml:space="preserve"> REF _Ref451946961 \h </w:instrText>
      </w:r>
      <w:r>
        <w:rPr>
          <w:rFonts w:eastAsia="Arial Unicode MS" w:cs="Times New Roman"/>
        </w:rPr>
      </w:r>
      <w:r>
        <w:rPr>
          <w:rFonts w:eastAsia="Arial Unicode MS" w:cs="Times New Roman"/>
        </w:rPr>
        <w:fldChar w:fldCharType="separate"/>
      </w:r>
      <w:r w:rsidR="006F0DB7" w:rsidRPr="00F32253">
        <w:t xml:space="preserve">Table </w:t>
      </w:r>
      <w:r w:rsidR="006F0DB7">
        <w:rPr>
          <w:noProof/>
        </w:rPr>
        <w:t>5</w:t>
      </w:r>
      <w:r>
        <w:rPr>
          <w:rFonts w:eastAsia="Arial Unicode MS" w:cs="Times New Roman"/>
        </w:rPr>
        <w:fldChar w:fldCharType="end"/>
      </w:r>
      <w:r>
        <w:rPr>
          <w:rFonts w:eastAsia="Arial Unicode MS" w:cs="Times New Roman"/>
        </w:rPr>
        <w:t>)</w:t>
      </w:r>
      <w:r w:rsidRPr="00F32253">
        <w:rPr>
          <w:rFonts w:eastAsia="Arial Unicode MS" w:cs="Times New Roman"/>
        </w:rPr>
        <w:t xml:space="preserve">. </w:t>
      </w:r>
      <w:r w:rsidRPr="00E27D50">
        <w:rPr>
          <w:rFonts w:eastAsia="Arial Unicode MS" w:cs="Times New Roman"/>
        </w:rPr>
        <w:t xml:space="preserve">Compared to similar-sized cities, Indianapolis ranks in the middle of the range of diabetes mortality rates seen in cities with population sizes of 500,000 </w:t>
      </w:r>
      <w:r>
        <w:rPr>
          <w:rFonts w:eastAsia="Arial Unicode MS" w:cs="Times New Roman"/>
        </w:rPr>
        <w:t xml:space="preserve">to under 1 million persons.  </w:t>
      </w:r>
      <w:r>
        <w:rPr>
          <w:rStyle w:val="EndnoteReference"/>
          <w:rFonts w:eastAsia="Arial Unicode MS" w:cs="Times New Roman"/>
        </w:rPr>
        <w:endnoteReference w:id="12"/>
      </w:r>
    </w:p>
    <w:p w:rsidR="00B95A35" w:rsidRDefault="00B95A35" w:rsidP="00FF46E8">
      <w:pPr>
        <w:spacing w:after="120"/>
        <w:rPr>
          <w:b/>
        </w:rPr>
      </w:pPr>
    </w:p>
    <w:p w:rsidR="000B2D34" w:rsidRDefault="000B2D34" w:rsidP="00FF46E8">
      <w:pPr>
        <w:spacing w:after="120"/>
        <w:rPr>
          <w:b/>
        </w:rPr>
      </w:pPr>
    </w:p>
    <w:p w:rsidR="000B2D34" w:rsidRDefault="000B2D34" w:rsidP="00FF46E8">
      <w:pPr>
        <w:spacing w:after="120"/>
        <w:rPr>
          <w:b/>
        </w:rPr>
      </w:pPr>
    </w:p>
    <w:p w:rsidR="0055100D" w:rsidRPr="0055100D" w:rsidRDefault="0055100D" w:rsidP="00FF46E8">
      <w:pPr>
        <w:pStyle w:val="Caption"/>
        <w:keepNext/>
        <w:spacing w:after="120"/>
        <w:rPr>
          <w:color w:val="auto"/>
        </w:rPr>
      </w:pPr>
      <w:bookmarkStart w:id="17" w:name="_Ref451945759"/>
      <w:r w:rsidRPr="0055100D">
        <w:rPr>
          <w:color w:val="auto"/>
        </w:rPr>
        <w:lastRenderedPageBreak/>
        <w:t xml:space="preserve">Table </w:t>
      </w:r>
      <w:r w:rsidRPr="0055100D">
        <w:rPr>
          <w:color w:val="auto"/>
        </w:rPr>
        <w:fldChar w:fldCharType="begin"/>
      </w:r>
      <w:r w:rsidRPr="0055100D">
        <w:rPr>
          <w:color w:val="auto"/>
        </w:rPr>
        <w:instrText xml:space="preserve"> SEQ Table \* ARABIC </w:instrText>
      </w:r>
      <w:r w:rsidRPr="0055100D">
        <w:rPr>
          <w:color w:val="auto"/>
        </w:rPr>
        <w:fldChar w:fldCharType="separate"/>
      </w:r>
      <w:r w:rsidR="006F0DB7">
        <w:rPr>
          <w:noProof/>
          <w:color w:val="auto"/>
        </w:rPr>
        <w:t>4</w:t>
      </w:r>
      <w:r w:rsidRPr="0055100D">
        <w:rPr>
          <w:color w:val="auto"/>
        </w:rPr>
        <w:fldChar w:fldCharType="end"/>
      </w:r>
      <w:bookmarkEnd w:id="17"/>
      <w:r w:rsidRPr="0055100D">
        <w:rPr>
          <w:color w:val="auto"/>
        </w:rPr>
        <w:t xml:space="preserve">: Age-adjusted death rates per 100,000 </w:t>
      </w:r>
      <w:proofErr w:type="gramStart"/>
      <w:r w:rsidRPr="0055100D">
        <w:rPr>
          <w:color w:val="auto"/>
        </w:rPr>
        <w:t>population</w:t>
      </w:r>
      <w:proofErr w:type="gramEnd"/>
      <w:r w:rsidRPr="0055100D">
        <w:rPr>
          <w:color w:val="auto"/>
        </w:rPr>
        <w:t xml:space="preserve"> for Marion County, Indiana, and the U.S. by cause: 2014</w:t>
      </w:r>
    </w:p>
    <w:tbl>
      <w:tblPr>
        <w:tblStyle w:val="TableGrid"/>
        <w:tblW w:w="497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D99594" w:themeColor="accent2" w:themeTint="99" w:fill="auto"/>
        <w:tblLook w:val="04A0" w:firstRow="1" w:lastRow="0" w:firstColumn="1" w:lastColumn="0" w:noHBand="0" w:noVBand="1"/>
      </w:tblPr>
      <w:tblGrid>
        <w:gridCol w:w="2943"/>
        <w:gridCol w:w="2197"/>
        <w:gridCol w:w="2197"/>
        <w:gridCol w:w="2197"/>
      </w:tblGrid>
      <w:tr w:rsidR="00D17975" w:rsidRPr="00A57B5A" w:rsidTr="00D710B2">
        <w:trPr>
          <w:trHeight w:val="779"/>
        </w:trPr>
        <w:tc>
          <w:tcPr>
            <w:tcW w:w="1544" w:type="pct"/>
            <w:shd w:val="clear" w:color="auto" w:fill="4F81BD" w:themeFill="accent1"/>
            <w:vAlign w:val="center"/>
          </w:tcPr>
          <w:p w:rsidR="00D17975" w:rsidRPr="00A57B5A" w:rsidRDefault="00D17975" w:rsidP="00FF46E8">
            <w:pPr>
              <w:spacing w:after="120"/>
              <w:jc w:val="center"/>
              <w:rPr>
                <w:rFonts w:cs="Times New Roman"/>
                <w:b/>
                <w:color w:val="FFFFFF" w:themeColor="background1"/>
                <w:sz w:val="24"/>
                <w:szCs w:val="24"/>
              </w:rPr>
            </w:pPr>
            <w:r>
              <w:rPr>
                <w:rFonts w:cs="Times New Roman"/>
                <w:b/>
                <w:color w:val="FFFFFF" w:themeColor="background1"/>
                <w:sz w:val="24"/>
                <w:szCs w:val="24"/>
              </w:rPr>
              <w:t>Leading causes of Death in Marion County (ICD-10 code)</w:t>
            </w:r>
          </w:p>
        </w:tc>
        <w:tc>
          <w:tcPr>
            <w:tcW w:w="1152" w:type="pct"/>
            <w:shd w:val="clear" w:color="auto" w:fill="4F81BD" w:themeFill="accent1"/>
            <w:vAlign w:val="center"/>
          </w:tcPr>
          <w:p w:rsidR="00D17975" w:rsidRPr="00A57B5A" w:rsidRDefault="00D17975" w:rsidP="00FF46E8">
            <w:pPr>
              <w:spacing w:after="120"/>
              <w:jc w:val="center"/>
              <w:rPr>
                <w:rFonts w:cs="Times New Roman"/>
                <w:b/>
                <w:color w:val="FFFFFF" w:themeColor="background1"/>
                <w:sz w:val="24"/>
                <w:szCs w:val="24"/>
              </w:rPr>
            </w:pPr>
            <w:r w:rsidRPr="00A57B5A">
              <w:rPr>
                <w:rFonts w:cs="Times New Roman"/>
                <w:b/>
                <w:color w:val="FFFFFF" w:themeColor="background1"/>
                <w:sz w:val="24"/>
                <w:szCs w:val="24"/>
              </w:rPr>
              <w:t>Marion County Age-adjusted mortality rate</w:t>
            </w:r>
            <w:r>
              <w:rPr>
                <w:rFonts w:cs="Times New Roman"/>
                <w:b/>
                <w:color w:val="FFFFFF" w:themeColor="background1"/>
                <w:sz w:val="24"/>
                <w:szCs w:val="24"/>
              </w:rPr>
              <w:t xml:space="preserve"> per 100,000</w:t>
            </w:r>
            <w:r w:rsidR="00B95A35">
              <w:rPr>
                <w:rFonts w:cs="Times New Roman"/>
                <w:b/>
                <w:color w:val="FFFFFF" w:themeColor="background1"/>
                <w:sz w:val="24"/>
                <w:szCs w:val="24"/>
              </w:rPr>
              <w:t xml:space="preserve"> (2014)</w:t>
            </w:r>
          </w:p>
        </w:tc>
        <w:tc>
          <w:tcPr>
            <w:tcW w:w="1152" w:type="pct"/>
            <w:shd w:val="clear" w:color="auto" w:fill="4F81BD" w:themeFill="accent1"/>
            <w:vAlign w:val="center"/>
          </w:tcPr>
          <w:p w:rsidR="00D17975" w:rsidRPr="00A57B5A" w:rsidRDefault="00D17975" w:rsidP="00FF46E8">
            <w:pPr>
              <w:spacing w:after="120"/>
              <w:jc w:val="center"/>
              <w:rPr>
                <w:rFonts w:cs="Times New Roman"/>
                <w:b/>
                <w:color w:val="FFFFFF" w:themeColor="background1"/>
                <w:sz w:val="24"/>
                <w:szCs w:val="24"/>
              </w:rPr>
            </w:pPr>
            <w:r w:rsidRPr="00A57B5A">
              <w:rPr>
                <w:rFonts w:cs="Times New Roman"/>
                <w:b/>
                <w:color w:val="FFFFFF" w:themeColor="background1"/>
                <w:sz w:val="24"/>
                <w:szCs w:val="24"/>
              </w:rPr>
              <w:t xml:space="preserve">Indiana Age-adjusted mortality rate </w:t>
            </w:r>
            <w:r>
              <w:rPr>
                <w:rFonts w:cs="Times New Roman"/>
                <w:b/>
                <w:color w:val="FFFFFF" w:themeColor="background1"/>
                <w:sz w:val="24"/>
                <w:szCs w:val="24"/>
              </w:rPr>
              <w:t>per 100,000</w:t>
            </w:r>
            <w:r w:rsidR="00B95A35">
              <w:rPr>
                <w:rFonts w:cs="Times New Roman"/>
                <w:b/>
                <w:color w:val="FFFFFF" w:themeColor="background1"/>
                <w:sz w:val="24"/>
                <w:szCs w:val="24"/>
              </w:rPr>
              <w:t xml:space="preserve"> (2014)</w:t>
            </w:r>
          </w:p>
        </w:tc>
        <w:tc>
          <w:tcPr>
            <w:tcW w:w="1152" w:type="pct"/>
            <w:shd w:val="clear" w:color="auto" w:fill="4F81BD" w:themeFill="accent1"/>
            <w:vAlign w:val="center"/>
          </w:tcPr>
          <w:p w:rsidR="00D17975" w:rsidRPr="00A57B5A" w:rsidRDefault="00D17975" w:rsidP="00FF46E8">
            <w:pPr>
              <w:spacing w:after="120"/>
              <w:jc w:val="center"/>
              <w:rPr>
                <w:rFonts w:cs="Times New Roman"/>
                <w:b/>
                <w:color w:val="FFFFFF" w:themeColor="background1"/>
                <w:sz w:val="24"/>
                <w:szCs w:val="24"/>
              </w:rPr>
            </w:pPr>
            <w:r>
              <w:rPr>
                <w:rFonts w:cs="Times New Roman"/>
                <w:b/>
                <w:color w:val="FFFFFF" w:themeColor="background1"/>
                <w:sz w:val="24"/>
                <w:szCs w:val="24"/>
              </w:rPr>
              <w:t>U.S.</w:t>
            </w:r>
            <w:r w:rsidRPr="00A57B5A">
              <w:rPr>
                <w:rFonts w:cs="Times New Roman"/>
                <w:b/>
                <w:color w:val="FFFFFF" w:themeColor="background1"/>
                <w:sz w:val="24"/>
                <w:szCs w:val="24"/>
              </w:rPr>
              <w:t xml:space="preserve"> Age-adjusted mortality rate </w:t>
            </w:r>
            <w:r>
              <w:rPr>
                <w:rFonts w:cs="Times New Roman"/>
                <w:b/>
                <w:color w:val="FFFFFF" w:themeColor="background1"/>
                <w:sz w:val="24"/>
                <w:szCs w:val="24"/>
              </w:rPr>
              <w:t>per 100,000</w:t>
            </w:r>
            <w:r w:rsidR="00B95A35">
              <w:rPr>
                <w:rFonts w:cs="Times New Roman"/>
                <w:b/>
                <w:color w:val="FFFFFF" w:themeColor="background1"/>
                <w:sz w:val="24"/>
                <w:szCs w:val="24"/>
              </w:rPr>
              <w:t xml:space="preserve"> (2013)</w:t>
            </w:r>
          </w:p>
        </w:tc>
      </w:tr>
      <w:tr w:rsidR="0095585E" w:rsidRPr="00A57B5A" w:rsidTr="00D710B2">
        <w:trPr>
          <w:trHeight w:val="517"/>
        </w:trPr>
        <w:tc>
          <w:tcPr>
            <w:tcW w:w="1544" w:type="pct"/>
            <w:shd w:val="clear" w:color="auto" w:fill="F2F2F2" w:themeFill="background1" w:themeFillShade="F2"/>
            <w:vAlign w:val="center"/>
          </w:tcPr>
          <w:p w:rsidR="0095585E" w:rsidRDefault="0095585E" w:rsidP="00FF46E8">
            <w:pPr>
              <w:spacing w:after="120"/>
              <w:jc w:val="center"/>
              <w:rPr>
                <w:rFonts w:asciiTheme="majorHAnsi" w:hAnsiTheme="majorHAnsi" w:cs="Times New Roman"/>
                <w:b/>
              </w:rPr>
            </w:pPr>
            <w:r w:rsidRPr="00A57B5A">
              <w:rPr>
                <w:rFonts w:asciiTheme="majorHAnsi" w:hAnsiTheme="majorHAnsi" w:cs="Times New Roman"/>
                <w:b/>
              </w:rPr>
              <w:t>Malignant neoplasms</w:t>
            </w:r>
          </w:p>
          <w:p w:rsidR="0095585E" w:rsidRPr="00A57B5A" w:rsidRDefault="0095585E" w:rsidP="00FF46E8">
            <w:pPr>
              <w:spacing w:after="120"/>
              <w:jc w:val="center"/>
              <w:rPr>
                <w:rFonts w:asciiTheme="majorHAnsi" w:hAnsiTheme="majorHAnsi" w:cs="Times New Roman"/>
                <w:b/>
                <w:sz w:val="18"/>
                <w:szCs w:val="18"/>
              </w:rPr>
            </w:pPr>
            <w:r w:rsidRPr="00D17975">
              <w:rPr>
                <w:rFonts w:asciiTheme="majorHAnsi" w:hAnsiTheme="majorHAnsi" w:cs="Arial"/>
                <w:bCs/>
                <w:sz w:val="18"/>
                <w:szCs w:val="18"/>
              </w:rPr>
              <w:t>(</w:t>
            </w:r>
            <w:r w:rsidRPr="00A57B5A">
              <w:rPr>
                <w:rFonts w:asciiTheme="majorHAnsi" w:hAnsiTheme="majorHAnsi" w:cs="Arial"/>
                <w:bCs/>
                <w:sz w:val="18"/>
                <w:szCs w:val="18"/>
              </w:rPr>
              <w:t>C00-C97</w:t>
            </w:r>
            <w:r w:rsidRPr="00D17975">
              <w:rPr>
                <w:rFonts w:asciiTheme="majorHAnsi" w:hAnsiTheme="majorHAnsi" w:cs="Arial"/>
                <w:bCs/>
                <w:sz w:val="18"/>
                <w:szCs w:val="18"/>
              </w:rPr>
              <w:t>)</w:t>
            </w:r>
          </w:p>
        </w:tc>
        <w:tc>
          <w:tcPr>
            <w:tcW w:w="1152" w:type="pct"/>
            <w:shd w:val="clear" w:color="auto" w:fill="C6D9F1" w:themeFill="text2" w:themeFillTint="33"/>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bCs/>
              </w:rPr>
              <w:t>190.2</w:t>
            </w:r>
          </w:p>
        </w:tc>
        <w:tc>
          <w:tcPr>
            <w:tcW w:w="1152" w:type="pct"/>
            <w:shd w:val="clear" w:color="auto" w:fill="FABF8F" w:themeFill="accent6" w:themeFillTint="99"/>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bCs/>
              </w:rPr>
              <w:t>179.4</w:t>
            </w:r>
          </w:p>
        </w:tc>
        <w:tc>
          <w:tcPr>
            <w:tcW w:w="1152" w:type="pct"/>
            <w:shd w:val="clear" w:color="auto" w:fill="D6E3BC" w:themeFill="accent3" w:themeFillTint="66"/>
          </w:tcPr>
          <w:p w:rsidR="0060021D" w:rsidRDefault="0060021D" w:rsidP="00FF46E8">
            <w:pPr>
              <w:autoSpaceDE w:val="0"/>
              <w:autoSpaceDN w:val="0"/>
              <w:adjustRightInd w:val="0"/>
              <w:spacing w:after="120"/>
              <w:jc w:val="center"/>
              <w:rPr>
                <w:rFonts w:asciiTheme="majorHAnsi" w:hAnsiTheme="majorHAnsi" w:cs="IBKDL L+ Helvetica"/>
                <w:color w:val="000000"/>
              </w:rPr>
            </w:pPr>
          </w:p>
          <w:p w:rsidR="0095585E" w:rsidRPr="00A57B5A" w:rsidRDefault="0095585E" w:rsidP="00FF46E8">
            <w:pPr>
              <w:autoSpaceDE w:val="0"/>
              <w:autoSpaceDN w:val="0"/>
              <w:adjustRightInd w:val="0"/>
              <w:spacing w:after="120"/>
              <w:jc w:val="center"/>
              <w:rPr>
                <w:rFonts w:asciiTheme="majorHAnsi" w:hAnsiTheme="majorHAnsi" w:cs="IBKDL L+ Helvetica"/>
                <w:color w:val="000000"/>
              </w:rPr>
            </w:pPr>
            <w:r w:rsidRPr="00A57B5A">
              <w:rPr>
                <w:rFonts w:asciiTheme="majorHAnsi" w:hAnsiTheme="majorHAnsi" w:cs="IBKDL L+ Helvetica"/>
                <w:color w:val="000000"/>
              </w:rPr>
              <w:t>163.2</w:t>
            </w:r>
          </w:p>
          <w:p w:rsidR="0095585E" w:rsidRPr="00A57B5A" w:rsidRDefault="0095585E" w:rsidP="00FF46E8">
            <w:pPr>
              <w:spacing w:after="120"/>
              <w:jc w:val="center"/>
              <w:rPr>
                <w:rFonts w:asciiTheme="majorHAnsi" w:hAnsiTheme="majorHAnsi" w:cs="Times New Roman"/>
              </w:rPr>
            </w:pPr>
          </w:p>
        </w:tc>
      </w:tr>
      <w:tr w:rsidR="0095585E" w:rsidRPr="00A57B5A" w:rsidTr="00D710B2">
        <w:trPr>
          <w:trHeight w:val="517"/>
        </w:trPr>
        <w:tc>
          <w:tcPr>
            <w:tcW w:w="1544" w:type="pct"/>
            <w:shd w:val="clear" w:color="auto" w:fill="F2F2F2" w:themeFill="background1" w:themeFillShade="F2"/>
            <w:vAlign w:val="center"/>
          </w:tcPr>
          <w:p w:rsidR="0095585E" w:rsidRDefault="0095585E" w:rsidP="00FF46E8">
            <w:pPr>
              <w:spacing w:after="120"/>
              <w:jc w:val="center"/>
              <w:rPr>
                <w:rFonts w:asciiTheme="majorHAnsi" w:hAnsiTheme="majorHAnsi" w:cs="Times New Roman"/>
                <w:b/>
              </w:rPr>
            </w:pPr>
            <w:r w:rsidRPr="00A57B5A">
              <w:rPr>
                <w:rFonts w:asciiTheme="majorHAnsi" w:hAnsiTheme="majorHAnsi" w:cs="Times New Roman"/>
                <w:b/>
              </w:rPr>
              <w:t>Diseases of the Heart</w:t>
            </w:r>
          </w:p>
          <w:p w:rsidR="0095585E" w:rsidRPr="00A57B5A" w:rsidRDefault="0095585E" w:rsidP="00FF46E8">
            <w:pPr>
              <w:spacing w:after="120"/>
              <w:jc w:val="center"/>
              <w:rPr>
                <w:rFonts w:asciiTheme="majorHAnsi" w:hAnsiTheme="majorHAnsi" w:cs="Times New Roman"/>
                <w:b/>
                <w:sz w:val="18"/>
                <w:szCs w:val="18"/>
              </w:rPr>
            </w:pPr>
            <w:r w:rsidRPr="00D17975">
              <w:rPr>
                <w:rFonts w:asciiTheme="majorHAnsi" w:hAnsiTheme="majorHAnsi" w:cs="Arial"/>
                <w:sz w:val="18"/>
                <w:szCs w:val="18"/>
              </w:rPr>
              <w:t>(</w:t>
            </w:r>
            <w:r w:rsidRPr="00A57B5A">
              <w:rPr>
                <w:rFonts w:asciiTheme="majorHAnsi" w:hAnsiTheme="majorHAnsi" w:cs="Arial"/>
                <w:sz w:val="18"/>
                <w:szCs w:val="18"/>
              </w:rPr>
              <w:t>I00-I09,I11,I13,I20-I51</w:t>
            </w:r>
            <w:r w:rsidRPr="00D17975">
              <w:rPr>
                <w:rFonts w:asciiTheme="majorHAnsi" w:hAnsiTheme="majorHAnsi" w:cs="Arial"/>
                <w:sz w:val="18"/>
                <w:szCs w:val="18"/>
              </w:rPr>
              <w:t>)</w:t>
            </w:r>
          </w:p>
        </w:tc>
        <w:tc>
          <w:tcPr>
            <w:tcW w:w="1152" w:type="pct"/>
            <w:shd w:val="clear" w:color="auto" w:fill="C6D9F1" w:themeFill="text2" w:themeFillTint="33"/>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rPr>
              <w:t>176.6</w:t>
            </w:r>
          </w:p>
        </w:tc>
        <w:tc>
          <w:tcPr>
            <w:tcW w:w="1152" w:type="pct"/>
            <w:shd w:val="clear" w:color="auto" w:fill="FABF8F" w:themeFill="accent6" w:themeFillTint="99"/>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rPr>
              <w:t>181.9</w:t>
            </w:r>
          </w:p>
        </w:tc>
        <w:tc>
          <w:tcPr>
            <w:tcW w:w="1152" w:type="pct"/>
            <w:shd w:val="clear" w:color="auto" w:fill="D6E3BC" w:themeFill="accent3" w:themeFillTint="66"/>
          </w:tcPr>
          <w:p w:rsidR="0060021D" w:rsidRDefault="0060021D" w:rsidP="00FF46E8">
            <w:pPr>
              <w:autoSpaceDE w:val="0"/>
              <w:autoSpaceDN w:val="0"/>
              <w:adjustRightInd w:val="0"/>
              <w:spacing w:after="120"/>
              <w:jc w:val="center"/>
              <w:rPr>
                <w:rFonts w:asciiTheme="majorHAnsi" w:hAnsiTheme="majorHAnsi" w:cs="IBKDL L+ Helvetica"/>
                <w:color w:val="000000"/>
              </w:rPr>
            </w:pPr>
          </w:p>
          <w:p w:rsidR="0095585E" w:rsidRPr="00A57B5A" w:rsidRDefault="0095585E" w:rsidP="00FF46E8">
            <w:pPr>
              <w:autoSpaceDE w:val="0"/>
              <w:autoSpaceDN w:val="0"/>
              <w:adjustRightInd w:val="0"/>
              <w:spacing w:after="120"/>
              <w:jc w:val="center"/>
              <w:rPr>
                <w:rFonts w:asciiTheme="majorHAnsi" w:hAnsiTheme="majorHAnsi" w:cs="IBKDL L+ Helvetica"/>
                <w:color w:val="000000"/>
              </w:rPr>
            </w:pPr>
            <w:r w:rsidRPr="00A57B5A">
              <w:rPr>
                <w:rFonts w:asciiTheme="majorHAnsi" w:hAnsiTheme="majorHAnsi" w:cs="IBKDL L+ Helvetica"/>
                <w:color w:val="000000"/>
              </w:rPr>
              <w:t>169.8</w:t>
            </w:r>
          </w:p>
          <w:p w:rsidR="0095585E" w:rsidRPr="00A57B5A" w:rsidRDefault="0095585E" w:rsidP="00FF46E8">
            <w:pPr>
              <w:spacing w:after="120"/>
              <w:jc w:val="center"/>
              <w:rPr>
                <w:rFonts w:asciiTheme="majorHAnsi" w:hAnsiTheme="majorHAnsi" w:cs="Times New Roman"/>
              </w:rPr>
            </w:pPr>
          </w:p>
        </w:tc>
      </w:tr>
      <w:tr w:rsidR="0095585E" w:rsidRPr="00A57B5A" w:rsidTr="00D710B2">
        <w:trPr>
          <w:trHeight w:val="468"/>
        </w:trPr>
        <w:tc>
          <w:tcPr>
            <w:tcW w:w="1544" w:type="pct"/>
            <w:shd w:val="clear" w:color="auto" w:fill="F2F2F2" w:themeFill="background1" w:themeFillShade="F2"/>
            <w:vAlign w:val="center"/>
          </w:tcPr>
          <w:p w:rsidR="0095585E" w:rsidRDefault="0095585E" w:rsidP="00FF46E8">
            <w:pPr>
              <w:spacing w:after="120"/>
              <w:jc w:val="center"/>
              <w:rPr>
                <w:rFonts w:asciiTheme="majorHAnsi" w:hAnsiTheme="majorHAnsi" w:cs="Times New Roman"/>
                <w:b/>
              </w:rPr>
            </w:pPr>
            <w:r w:rsidRPr="00A57B5A">
              <w:rPr>
                <w:rFonts w:asciiTheme="majorHAnsi" w:hAnsiTheme="majorHAnsi" w:cs="Times New Roman"/>
                <w:b/>
              </w:rPr>
              <w:t>Chronic lower respiratory diseases</w:t>
            </w:r>
          </w:p>
          <w:p w:rsidR="0095585E" w:rsidRPr="00A57B5A" w:rsidRDefault="0095585E" w:rsidP="00FF46E8">
            <w:pPr>
              <w:spacing w:after="120"/>
              <w:jc w:val="center"/>
              <w:rPr>
                <w:rFonts w:asciiTheme="majorHAnsi" w:hAnsiTheme="majorHAnsi" w:cs="Times New Roman"/>
                <w:b/>
                <w:sz w:val="18"/>
                <w:szCs w:val="18"/>
              </w:rPr>
            </w:pPr>
            <w:r w:rsidRPr="00D17975">
              <w:rPr>
                <w:rFonts w:asciiTheme="majorHAnsi" w:hAnsiTheme="majorHAnsi" w:cs="Arial"/>
                <w:bCs/>
                <w:sz w:val="18"/>
                <w:szCs w:val="18"/>
              </w:rPr>
              <w:t>(</w:t>
            </w:r>
            <w:r w:rsidRPr="00A57B5A">
              <w:rPr>
                <w:rFonts w:asciiTheme="majorHAnsi" w:hAnsiTheme="majorHAnsi" w:cs="Arial"/>
                <w:bCs/>
                <w:sz w:val="18"/>
                <w:szCs w:val="18"/>
              </w:rPr>
              <w:t>J40-J47</w:t>
            </w:r>
            <w:r w:rsidRPr="00D17975">
              <w:rPr>
                <w:rFonts w:asciiTheme="majorHAnsi" w:hAnsiTheme="majorHAnsi" w:cs="Arial"/>
                <w:bCs/>
                <w:sz w:val="18"/>
                <w:szCs w:val="18"/>
              </w:rPr>
              <w:t>)</w:t>
            </w:r>
          </w:p>
        </w:tc>
        <w:tc>
          <w:tcPr>
            <w:tcW w:w="1152" w:type="pct"/>
            <w:shd w:val="clear" w:color="auto" w:fill="C6D9F1" w:themeFill="text2" w:themeFillTint="33"/>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bCs/>
              </w:rPr>
              <w:t>60.0</w:t>
            </w:r>
          </w:p>
        </w:tc>
        <w:tc>
          <w:tcPr>
            <w:tcW w:w="1152" w:type="pct"/>
            <w:shd w:val="clear" w:color="auto" w:fill="FABF8F" w:themeFill="accent6" w:themeFillTint="99"/>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bCs/>
              </w:rPr>
              <w:t>54.0</w:t>
            </w:r>
          </w:p>
        </w:tc>
        <w:tc>
          <w:tcPr>
            <w:tcW w:w="1152" w:type="pct"/>
            <w:shd w:val="clear" w:color="auto" w:fill="D6E3BC" w:themeFill="accent3" w:themeFillTint="66"/>
            <w:vAlign w:val="center"/>
          </w:tcPr>
          <w:p w:rsidR="0095585E" w:rsidRPr="00A57B5A" w:rsidRDefault="0095585E" w:rsidP="00FF46E8">
            <w:pPr>
              <w:autoSpaceDE w:val="0"/>
              <w:autoSpaceDN w:val="0"/>
              <w:adjustRightInd w:val="0"/>
              <w:spacing w:after="120"/>
              <w:jc w:val="center"/>
              <w:rPr>
                <w:rFonts w:asciiTheme="majorHAnsi" w:hAnsiTheme="majorHAnsi" w:cs="IBKDL L+ Helvetica"/>
                <w:color w:val="000000"/>
              </w:rPr>
            </w:pPr>
            <w:r w:rsidRPr="00A57B5A">
              <w:rPr>
                <w:rFonts w:asciiTheme="majorHAnsi" w:hAnsiTheme="majorHAnsi" w:cs="IBKDL L+ Helvetica"/>
                <w:color w:val="000000"/>
              </w:rPr>
              <w:t>42.1</w:t>
            </w:r>
          </w:p>
          <w:p w:rsidR="0095585E" w:rsidRPr="00A57B5A" w:rsidRDefault="0095585E" w:rsidP="00FF46E8">
            <w:pPr>
              <w:spacing w:after="120"/>
              <w:jc w:val="center"/>
              <w:rPr>
                <w:rFonts w:asciiTheme="majorHAnsi" w:hAnsiTheme="majorHAnsi" w:cs="Times New Roman"/>
              </w:rPr>
            </w:pPr>
          </w:p>
        </w:tc>
      </w:tr>
      <w:tr w:rsidR="0095585E" w:rsidRPr="00A57B5A" w:rsidTr="00D710B2">
        <w:trPr>
          <w:trHeight w:val="486"/>
        </w:trPr>
        <w:tc>
          <w:tcPr>
            <w:tcW w:w="1544" w:type="pct"/>
            <w:shd w:val="clear" w:color="auto" w:fill="F2F2F2" w:themeFill="background1" w:themeFillShade="F2"/>
            <w:vAlign w:val="center"/>
          </w:tcPr>
          <w:p w:rsidR="0095585E" w:rsidRDefault="0095585E" w:rsidP="00FF46E8">
            <w:pPr>
              <w:spacing w:after="120"/>
              <w:jc w:val="center"/>
              <w:rPr>
                <w:rFonts w:asciiTheme="majorHAnsi" w:hAnsiTheme="majorHAnsi" w:cs="Times New Roman"/>
                <w:b/>
              </w:rPr>
            </w:pPr>
            <w:r w:rsidRPr="00A57B5A">
              <w:rPr>
                <w:rFonts w:asciiTheme="majorHAnsi" w:hAnsiTheme="majorHAnsi" w:cs="Times New Roman"/>
                <w:b/>
              </w:rPr>
              <w:t>Accidents</w:t>
            </w:r>
          </w:p>
          <w:p w:rsidR="0095585E" w:rsidRPr="00A57B5A" w:rsidRDefault="0095585E" w:rsidP="00FF46E8">
            <w:pPr>
              <w:spacing w:after="120"/>
              <w:jc w:val="center"/>
              <w:rPr>
                <w:rFonts w:asciiTheme="majorHAnsi" w:hAnsiTheme="majorHAnsi" w:cs="Times New Roman"/>
                <w:b/>
                <w:sz w:val="18"/>
                <w:szCs w:val="18"/>
              </w:rPr>
            </w:pPr>
            <w:r w:rsidRPr="00D17975">
              <w:rPr>
                <w:rFonts w:asciiTheme="majorHAnsi" w:hAnsiTheme="majorHAnsi" w:cs="Times New Roman"/>
                <w:sz w:val="18"/>
                <w:szCs w:val="18"/>
              </w:rPr>
              <w:t>(</w:t>
            </w:r>
            <w:r w:rsidRPr="00A57B5A">
              <w:rPr>
                <w:rFonts w:asciiTheme="majorHAnsi" w:hAnsiTheme="majorHAnsi" w:cs="Times New Roman"/>
                <w:sz w:val="18"/>
                <w:szCs w:val="18"/>
              </w:rPr>
              <w:t>V01–X59,Y85–Y86</w:t>
            </w:r>
            <w:r w:rsidRPr="00D17975">
              <w:rPr>
                <w:rFonts w:asciiTheme="majorHAnsi" w:hAnsiTheme="majorHAnsi" w:cs="Times New Roman"/>
                <w:sz w:val="18"/>
                <w:szCs w:val="18"/>
              </w:rPr>
              <w:t>)</w:t>
            </w:r>
          </w:p>
        </w:tc>
        <w:tc>
          <w:tcPr>
            <w:tcW w:w="1152" w:type="pct"/>
            <w:shd w:val="clear" w:color="auto" w:fill="C6D9F1" w:themeFill="text2" w:themeFillTint="33"/>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bCs/>
              </w:rPr>
              <w:t>46.7</w:t>
            </w:r>
          </w:p>
        </w:tc>
        <w:tc>
          <w:tcPr>
            <w:tcW w:w="1152" w:type="pct"/>
            <w:shd w:val="clear" w:color="auto" w:fill="FABF8F" w:themeFill="accent6" w:themeFillTint="99"/>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bCs/>
              </w:rPr>
              <w:t>44.1</w:t>
            </w:r>
          </w:p>
        </w:tc>
        <w:tc>
          <w:tcPr>
            <w:tcW w:w="1152" w:type="pct"/>
            <w:shd w:val="clear" w:color="auto" w:fill="D6E3BC" w:themeFill="accent3" w:themeFillTint="66"/>
            <w:vAlign w:val="center"/>
          </w:tcPr>
          <w:p w:rsidR="0095585E" w:rsidRPr="00A57B5A" w:rsidRDefault="0095585E" w:rsidP="00FF46E8">
            <w:pPr>
              <w:spacing w:after="120"/>
              <w:jc w:val="center"/>
              <w:rPr>
                <w:rFonts w:asciiTheme="majorHAnsi" w:hAnsiTheme="majorHAnsi" w:cs="Times New Roman"/>
              </w:rPr>
            </w:pPr>
            <w:r w:rsidRPr="00A57B5A">
              <w:rPr>
                <w:rFonts w:asciiTheme="majorHAnsi" w:hAnsiTheme="majorHAnsi" w:cs="Times New Roman"/>
              </w:rPr>
              <w:t>39.4</w:t>
            </w:r>
          </w:p>
        </w:tc>
      </w:tr>
      <w:tr w:rsidR="0095585E" w:rsidRPr="00A57B5A" w:rsidTr="00D710B2">
        <w:trPr>
          <w:trHeight w:val="448"/>
        </w:trPr>
        <w:tc>
          <w:tcPr>
            <w:tcW w:w="1544" w:type="pct"/>
            <w:shd w:val="clear" w:color="auto" w:fill="F2F2F2" w:themeFill="background1" w:themeFillShade="F2"/>
            <w:vAlign w:val="center"/>
          </w:tcPr>
          <w:p w:rsidR="0095585E" w:rsidRDefault="0095585E" w:rsidP="00FF46E8">
            <w:pPr>
              <w:spacing w:after="120"/>
              <w:jc w:val="center"/>
              <w:rPr>
                <w:rFonts w:asciiTheme="majorHAnsi" w:hAnsiTheme="majorHAnsi" w:cs="Times New Roman"/>
                <w:b/>
              </w:rPr>
            </w:pPr>
            <w:r w:rsidRPr="00A57B5A">
              <w:rPr>
                <w:rFonts w:asciiTheme="majorHAnsi" w:hAnsiTheme="majorHAnsi" w:cs="Times New Roman"/>
                <w:b/>
              </w:rPr>
              <w:t>Cerebrovascular diseases</w:t>
            </w:r>
          </w:p>
          <w:p w:rsidR="0095585E" w:rsidRPr="00A57B5A" w:rsidRDefault="0095585E" w:rsidP="00FF46E8">
            <w:pPr>
              <w:spacing w:after="120"/>
              <w:jc w:val="center"/>
              <w:rPr>
                <w:rFonts w:asciiTheme="majorHAnsi" w:hAnsiTheme="majorHAnsi" w:cs="Times New Roman"/>
                <w:b/>
                <w:sz w:val="18"/>
                <w:szCs w:val="18"/>
              </w:rPr>
            </w:pPr>
            <w:r w:rsidRPr="00D17975">
              <w:rPr>
                <w:rFonts w:asciiTheme="majorHAnsi" w:hAnsiTheme="majorHAnsi" w:cs="Arial"/>
                <w:sz w:val="18"/>
                <w:szCs w:val="18"/>
              </w:rPr>
              <w:t>(</w:t>
            </w:r>
            <w:r w:rsidRPr="00A57B5A">
              <w:rPr>
                <w:rFonts w:asciiTheme="majorHAnsi" w:hAnsiTheme="majorHAnsi" w:cs="Arial"/>
                <w:sz w:val="18"/>
                <w:szCs w:val="18"/>
              </w:rPr>
              <w:t>I60-I69</w:t>
            </w:r>
            <w:r w:rsidRPr="00D17975">
              <w:rPr>
                <w:rFonts w:asciiTheme="majorHAnsi" w:hAnsiTheme="majorHAnsi" w:cs="Arial"/>
                <w:sz w:val="18"/>
                <w:szCs w:val="18"/>
              </w:rPr>
              <w:t>)</w:t>
            </w:r>
          </w:p>
        </w:tc>
        <w:tc>
          <w:tcPr>
            <w:tcW w:w="1152" w:type="pct"/>
            <w:shd w:val="clear" w:color="auto" w:fill="C6D9F1" w:themeFill="text2" w:themeFillTint="33"/>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rPr>
              <w:t>40.7</w:t>
            </w:r>
          </w:p>
        </w:tc>
        <w:tc>
          <w:tcPr>
            <w:tcW w:w="1152" w:type="pct"/>
            <w:shd w:val="clear" w:color="auto" w:fill="FABF8F" w:themeFill="accent6" w:themeFillTint="99"/>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rPr>
              <w:t>41.7</w:t>
            </w:r>
          </w:p>
        </w:tc>
        <w:tc>
          <w:tcPr>
            <w:tcW w:w="1152" w:type="pct"/>
            <w:shd w:val="clear" w:color="auto" w:fill="D6E3BC" w:themeFill="accent3" w:themeFillTint="66"/>
            <w:vAlign w:val="center"/>
          </w:tcPr>
          <w:p w:rsidR="0095585E" w:rsidRPr="00A57B5A" w:rsidRDefault="0095585E" w:rsidP="00FF46E8">
            <w:pPr>
              <w:autoSpaceDE w:val="0"/>
              <w:autoSpaceDN w:val="0"/>
              <w:adjustRightInd w:val="0"/>
              <w:spacing w:after="120"/>
              <w:jc w:val="center"/>
              <w:rPr>
                <w:rFonts w:asciiTheme="majorHAnsi" w:hAnsiTheme="majorHAnsi" w:cs="IBKDL L+ Helvetica"/>
                <w:color w:val="000000"/>
              </w:rPr>
            </w:pPr>
            <w:r w:rsidRPr="00A57B5A">
              <w:rPr>
                <w:rFonts w:asciiTheme="majorHAnsi" w:hAnsiTheme="majorHAnsi" w:cs="IBKDL L+ Helvetica"/>
                <w:color w:val="000000"/>
              </w:rPr>
              <w:t>36.2</w:t>
            </w:r>
          </w:p>
          <w:p w:rsidR="0095585E" w:rsidRPr="00A57B5A" w:rsidRDefault="0095585E" w:rsidP="00FF46E8">
            <w:pPr>
              <w:spacing w:after="120"/>
              <w:jc w:val="center"/>
              <w:rPr>
                <w:rFonts w:asciiTheme="majorHAnsi" w:hAnsiTheme="majorHAnsi" w:cs="Times New Roman"/>
              </w:rPr>
            </w:pPr>
          </w:p>
        </w:tc>
      </w:tr>
      <w:tr w:rsidR="0095585E" w:rsidRPr="00A57B5A" w:rsidTr="00D710B2">
        <w:trPr>
          <w:trHeight w:val="233"/>
        </w:trPr>
        <w:tc>
          <w:tcPr>
            <w:tcW w:w="1544" w:type="pct"/>
            <w:shd w:val="clear" w:color="auto" w:fill="F2F2F2" w:themeFill="background1" w:themeFillShade="F2"/>
            <w:vAlign w:val="center"/>
          </w:tcPr>
          <w:p w:rsidR="0095585E" w:rsidRDefault="0095585E" w:rsidP="00FF46E8">
            <w:pPr>
              <w:spacing w:after="120"/>
              <w:jc w:val="center"/>
              <w:rPr>
                <w:rFonts w:asciiTheme="majorHAnsi" w:hAnsiTheme="majorHAnsi" w:cs="Times New Roman"/>
                <w:b/>
              </w:rPr>
            </w:pPr>
            <w:r w:rsidRPr="00A57B5A">
              <w:rPr>
                <w:rFonts w:asciiTheme="majorHAnsi" w:hAnsiTheme="majorHAnsi" w:cs="Times New Roman"/>
                <w:b/>
              </w:rPr>
              <w:t xml:space="preserve">Nephritis, </w:t>
            </w:r>
            <w:proofErr w:type="spellStart"/>
            <w:r w:rsidRPr="00A57B5A">
              <w:rPr>
                <w:rFonts w:asciiTheme="majorHAnsi" w:hAnsiTheme="majorHAnsi" w:cs="Times New Roman"/>
                <w:b/>
              </w:rPr>
              <w:t>nephrotic</w:t>
            </w:r>
            <w:proofErr w:type="spellEnd"/>
            <w:r w:rsidRPr="00A57B5A">
              <w:rPr>
                <w:rFonts w:asciiTheme="majorHAnsi" w:hAnsiTheme="majorHAnsi" w:cs="Times New Roman"/>
                <w:b/>
              </w:rPr>
              <w:t xml:space="preserve"> syndrome &amp; </w:t>
            </w:r>
            <w:proofErr w:type="spellStart"/>
            <w:r w:rsidRPr="00A57B5A">
              <w:rPr>
                <w:rFonts w:asciiTheme="majorHAnsi" w:hAnsiTheme="majorHAnsi" w:cs="Times New Roman"/>
                <w:b/>
              </w:rPr>
              <w:t>nephrosis</w:t>
            </w:r>
            <w:proofErr w:type="spellEnd"/>
          </w:p>
          <w:p w:rsidR="0095585E" w:rsidRPr="00A57B5A" w:rsidRDefault="0095585E" w:rsidP="00FF46E8">
            <w:pPr>
              <w:spacing w:after="120"/>
              <w:jc w:val="center"/>
              <w:rPr>
                <w:rFonts w:asciiTheme="majorHAnsi" w:hAnsiTheme="majorHAnsi" w:cs="Times New Roman"/>
                <w:sz w:val="18"/>
                <w:szCs w:val="18"/>
              </w:rPr>
            </w:pPr>
            <w:r w:rsidRPr="00D17975">
              <w:rPr>
                <w:rFonts w:asciiTheme="majorHAnsi" w:hAnsiTheme="majorHAnsi" w:cs="Times New Roman"/>
                <w:sz w:val="18"/>
                <w:szCs w:val="18"/>
              </w:rPr>
              <w:t>(N00-N07,N17-N19,N25-N27)</w:t>
            </w:r>
          </w:p>
        </w:tc>
        <w:tc>
          <w:tcPr>
            <w:tcW w:w="1152" w:type="pct"/>
            <w:shd w:val="clear" w:color="auto" w:fill="C6D9F1" w:themeFill="text2" w:themeFillTint="33"/>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bCs/>
              </w:rPr>
              <w:t>21.8</w:t>
            </w:r>
          </w:p>
        </w:tc>
        <w:tc>
          <w:tcPr>
            <w:tcW w:w="1152" w:type="pct"/>
            <w:shd w:val="clear" w:color="auto" w:fill="FABF8F" w:themeFill="accent6" w:themeFillTint="99"/>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bCs/>
              </w:rPr>
              <w:t>18.7</w:t>
            </w:r>
          </w:p>
        </w:tc>
        <w:tc>
          <w:tcPr>
            <w:tcW w:w="1152" w:type="pct"/>
            <w:shd w:val="clear" w:color="auto" w:fill="D6E3BC" w:themeFill="accent3" w:themeFillTint="66"/>
            <w:vAlign w:val="center"/>
          </w:tcPr>
          <w:p w:rsidR="00C33445" w:rsidRDefault="00C33445" w:rsidP="00FF46E8">
            <w:pPr>
              <w:autoSpaceDE w:val="0"/>
              <w:autoSpaceDN w:val="0"/>
              <w:adjustRightInd w:val="0"/>
              <w:spacing w:after="120"/>
              <w:jc w:val="center"/>
              <w:rPr>
                <w:rFonts w:asciiTheme="majorHAnsi" w:hAnsiTheme="majorHAnsi" w:cs="IBKDL L+ Helvetica"/>
                <w:color w:val="000000"/>
              </w:rPr>
            </w:pPr>
          </w:p>
          <w:p w:rsidR="00C33445" w:rsidRPr="00A57B5A" w:rsidRDefault="00C33445" w:rsidP="00FF46E8">
            <w:pPr>
              <w:autoSpaceDE w:val="0"/>
              <w:autoSpaceDN w:val="0"/>
              <w:adjustRightInd w:val="0"/>
              <w:spacing w:after="120"/>
              <w:rPr>
                <w:rFonts w:asciiTheme="majorHAnsi" w:hAnsiTheme="majorHAnsi" w:cs="IBKDL L+ Helvetica"/>
                <w:color w:val="000000"/>
              </w:rPr>
            </w:pPr>
            <w:r>
              <w:rPr>
                <w:rFonts w:asciiTheme="majorHAnsi" w:hAnsiTheme="majorHAnsi" w:cs="IBKDL L+ Helvetica"/>
                <w:color w:val="000000"/>
              </w:rPr>
              <w:t xml:space="preserve">                </w:t>
            </w:r>
            <w:r w:rsidRPr="00A57B5A">
              <w:rPr>
                <w:rFonts w:asciiTheme="majorHAnsi" w:hAnsiTheme="majorHAnsi" w:cs="IBKDL L+ Helvetica"/>
                <w:color w:val="000000"/>
              </w:rPr>
              <w:t>13.2</w:t>
            </w:r>
          </w:p>
          <w:p w:rsidR="0095585E" w:rsidRPr="00A57B5A" w:rsidRDefault="0095585E" w:rsidP="00FF46E8">
            <w:pPr>
              <w:autoSpaceDE w:val="0"/>
              <w:autoSpaceDN w:val="0"/>
              <w:adjustRightInd w:val="0"/>
              <w:spacing w:after="120"/>
              <w:jc w:val="center"/>
              <w:rPr>
                <w:rFonts w:asciiTheme="majorHAnsi" w:hAnsiTheme="majorHAnsi" w:cs="IBKDL L+ Helvetica"/>
                <w:color w:val="000000"/>
              </w:rPr>
            </w:pPr>
          </w:p>
        </w:tc>
      </w:tr>
      <w:tr w:rsidR="0095585E" w:rsidRPr="00A57B5A" w:rsidTr="00D710B2">
        <w:trPr>
          <w:trHeight w:val="517"/>
        </w:trPr>
        <w:tc>
          <w:tcPr>
            <w:tcW w:w="1544" w:type="pct"/>
            <w:shd w:val="clear" w:color="auto" w:fill="F2F2F2" w:themeFill="background1" w:themeFillShade="F2"/>
            <w:vAlign w:val="center"/>
          </w:tcPr>
          <w:p w:rsidR="0095585E" w:rsidRDefault="0095585E" w:rsidP="00FF46E8">
            <w:pPr>
              <w:spacing w:after="120"/>
              <w:jc w:val="center"/>
              <w:rPr>
                <w:rFonts w:asciiTheme="majorHAnsi" w:hAnsiTheme="majorHAnsi" w:cs="Times New Roman"/>
                <w:b/>
              </w:rPr>
            </w:pPr>
            <w:r w:rsidRPr="00A57B5A">
              <w:rPr>
                <w:rFonts w:asciiTheme="majorHAnsi" w:hAnsiTheme="majorHAnsi" w:cs="Times New Roman"/>
                <w:b/>
              </w:rPr>
              <w:t>Alzheimer’s Disease</w:t>
            </w:r>
          </w:p>
          <w:p w:rsidR="0095585E" w:rsidRPr="00A57B5A" w:rsidRDefault="0095585E" w:rsidP="00FF46E8">
            <w:pPr>
              <w:spacing w:after="120"/>
              <w:jc w:val="center"/>
              <w:rPr>
                <w:rFonts w:asciiTheme="majorHAnsi" w:hAnsiTheme="majorHAnsi" w:cs="Times New Roman"/>
                <w:b/>
                <w:sz w:val="18"/>
                <w:szCs w:val="18"/>
              </w:rPr>
            </w:pPr>
            <w:r w:rsidRPr="00D17975">
              <w:rPr>
                <w:rFonts w:asciiTheme="majorHAnsi" w:hAnsiTheme="majorHAnsi" w:cs="Arial"/>
                <w:bCs/>
                <w:sz w:val="18"/>
                <w:szCs w:val="18"/>
              </w:rPr>
              <w:t>(</w:t>
            </w:r>
            <w:r w:rsidRPr="00A57B5A">
              <w:rPr>
                <w:rFonts w:asciiTheme="majorHAnsi" w:hAnsiTheme="majorHAnsi" w:cs="Arial"/>
                <w:bCs/>
                <w:sz w:val="18"/>
                <w:szCs w:val="18"/>
              </w:rPr>
              <w:t>G30</w:t>
            </w:r>
            <w:r w:rsidRPr="00D17975">
              <w:rPr>
                <w:rFonts w:asciiTheme="majorHAnsi" w:hAnsiTheme="majorHAnsi" w:cs="Arial"/>
                <w:bCs/>
                <w:sz w:val="18"/>
                <w:szCs w:val="18"/>
              </w:rPr>
              <w:t>)</w:t>
            </w:r>
          </w:p>
        </w:tc>
        <w:tc>
          <w:tcPr>
            <w:tcW w:w="1152" w:type="pct"/>
            <w:shd w:val="clear" w:color="auto" w:fill="C6D9F1" w:themeFill="text2" w:themeFillTint="33"/>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bCs/>
              </w:rPr>
              <w:t>21.5</w:t>
            </w:r>
          </w:p>
        </w:tc>
        <w:tc>
          <w:tcPr>
            <w:tcW w:w="1152" w:type="pct"/>
            <w:shd w:val="clear" w:color="auto" w:fill="FABF8F" w:themeFill="accent6" w:themeFillTint="99"/>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bCs/>
              </w:rPr>
              <w:t>29.4</w:t>
            </w:r>
          </w:p>
        </w:tc>
        <w:tc>
          <w:tcPr>
            <w:tcW w:w="1152" w:type="pct"/>
            <w:shd w:val="clear" w:color="auto" w:fill="D6E3BC" w:themeFill="accent3" w:themeFillTint="66"/>
            <w:vAlign w:val="center"/>
          </w:tcPr>
          <w:p w:rsidR="0095585E" w:rsidRPr="00A57B5A" w:rsidRDefault="0095585E" w:rsidP="00FF46E8">
            <w:pPr>
              <w:autoSpaceDE w:val="0"/>
              <w:autoSpaceDN w:val="0"/>
              <w:adjustRightInd w:val="0"/>
              <w:spacing w:after="120"/>
              <w:jc w:val="center"/>
              <w:rPr>
                <w:rFonts w:asciiTheme="majorHAnsi" w:hAnsiTheme="majorHAnsi" w:cs="IBKDL L+ Helvetica"/>
                <w:color w:val="000000"/>
              </w:rPr>
            </w:pPr>
            <w:r w:rsidRPr="00A57B5A">
              <w:rPr>
                <w:rFonts w:asciiTheme="majorHAnsi" w:hAnsiTheme="majorHAnsi" w:cs="IBKDL L+ Helvetica"/>
                <w:color w:val="000000"/>
              </w:rPr>
              <w:t>23.5</w:t>
            </w:r>
          </w:p>
          <w:p w:rsidR="0095585E" w:rsidRPr="00A57B5A" w:rsidRDefault="0095585E" w:rsidP="00FF46E8">
            <w:pPr>
              <w:spacing w:after="120"/>
              <w:jc w:val="center"/>
              <w:rPr>
                <w:rFonts w:asciiTheme="majorHAnsi" w:hAnsiTheme="majorHAnsi" w:cs="Times New Roman"/>
              </w:rPr>
            </w:pPr>
          </w:p>
        </w:tc>
      </w:tr>
      <w:tr w:rsidR="0095585E" w:rsidRPr="00A57B5A" w:rsidTr="00D710B2">
        <w:trPr>
          <w:trHeight w:val="517"/>
        </w:trPr>
        <w:tc>
          <w:tcPr>
            <w:tcW w:w="1544" w:type="pct"/>
            <w:shd w:val="clear" w:color="auto" w:fill="F2F2F2" w:themeFill="background1" w:themeFillShade="F2"/>
            <w:vAlign w:val="center"/>
          </w:tcPr>
          <w:p w:rsidR="0095585E" w:rsidRDefault="0095585E" w:rsidP="00FF46E8">
            <w:pPr>
              <w:spacing w:after="120"/>
              <w:jc w:val="center"/>
              <w:rPr>
                <w:rFonts w:asciiTheme="majorHAnsi" w:hAnsiTheme="majorHAnsi" w:cs="Times New Roman"/>
                <w:b/>
              </w:rPr>
            </w:pPr>
            <w:r w:rsidRPr="00A57B5A">
              <w:rPr>
                <w:rFonts w:asciiTheme="majorHAnsi" w:hAnsiTheme="majorHAnsi" w:cs="Times New Roman"/>
                <w:b/>
              </w:rPr>
              <w:t>Diabetes mellitus</w:t>
            </w:r>
          </w:p>
          <w:p w:rsidR="0095585E" w:rsidRPr="00A57B5A" w:rsidRDefault="0095585E" w:rsidP="00FF46E8">
            <w:pPr>
              <w:spacing w:after="120"/>
              <w:jc w:val="center"/>
              <w:rPr>
                <w:rFonts w:asciiTheme="majorHAnsi" w:hAnsiTheme="majorHAnsi" w:cs="Times New Roman"/>
                <w:b/>
                <w:sz w:val="18"/>
                <w:szCs w:val="18"/>
              </w:rPr>
            </w:pPr>
            <w:r w:rsidRPr="00D17975">
              <w:rPr>
                <w:rFonts w:asciiTheme="majorHAnsi" w:hAnsiTheme="majorHAnsi" w:cs="Arial"/>
                <w:bCs/>
                <w:sz w:val="18"/>
                <w:szCs w:val="18"/>
              </w:rPr>
              <w:t>(</w:t>
            </w:r>
            <w:r w:rsidRPr="00A57B5A">
              <w:rPr>
                <w:rFonts w:asciiTheme="majorHAnsi" w:hAnsiTheme="majorHAnsi" w:cs="Arial"/>
                <w:bCs/>
                <w:sz w:val="18"/>
                <w:szCs w:val="18"/>
              </w:rPr>
              <w:t>E10-E14</w:t>
            </w:r>
            <w:r w:rsidRPr="00D17975">
              <w:rPr>
                <w:rFonts w:asciiTheme="majorHAnsi" w:hAnsiTheme="majorHAnsi" w:cs="Arial"/>
                <w:bCs/>
                <w:sz w:val="18"/>
                <w:szCs w:val="18"/>
              </w:rPr>
              <w:t>)</w:t>
            </w:r>
          </w:p>
        </w:tc>
        <w:tc>
          <w:tcPr>
            <w:tcW w:w="1152" w:type="pct"/>
            <w:shd w:val="clear" w:color="auto" w:fill="C6D9F1" w:themeFill="text2" w:themeFillTint="33"/>
            <w:vAlign w:val="center"/>
          </w:tcPr>
          <w:p w:rsidR="0095585E" w:rsidRPr="00A57B5A" w:rsidRDefault="0095585E" w:rsidP="00FF46E8">
            <w:pPr>
              <w:spacing w:after="120"/>
              <w:jc w:val="center"/>
              <w:rPr>
                <w:rFonts w:asciiTheme="majorHAnsi" w:hAnsiTheme="majorHAnsi" w:cs="Times New Roman"/>
                <w:b/>
              </w:rPr>
            </w:pPr>
            <w:r>
              <w:rPr>
                <w:rFonts w:asciiTheme="majorHAnsi" w:hAnsiTheme="majorHAnsi" w:cs="Arial"/>
                <w:b/>
                <w:bCs/>
              </w:rPr>
              <w:t>19.0</w:t>
            </w:r>
          </w:p>
        </w:tc>
        <w:tc>
          <w:tcPr>
            <w:tcW w:w="1152" w:type="pct"/>
            <w:shd w:val="clear" w:color="auto" w:fill="FABF8F" w:themeFill="accent6" w:themeFillTint="99"/>
            <w:vAlign w:val="center"/>
          </w:tcPr>
          <w:p w:rsidR="0095585E" w:rsidRPr="00A57B5A" w:rsidRDefault="0095585E" w:rsidP="00FF46E8">
            <w:pPr>
              <w:spacing w:after="120"/>
              <w:jc w:val="center"/>
              <w:rPr>
                <w:rFonts w:asciiTheme="majorHAnsi" w:hAnsiTheme="majorHAnsi" w:cs="Times New Roman"/>
                <w:b/>
              </w:rPr>
            </w:pPr>
            <w:r>
              <w:rPr>
                <w:rFonts w:asciiTheme="majorHAnsi" w:hAnsiTheme="majorHAnsi" w:cs="Arial"/>
                <w:b/>
                <w:bCs/>
              </w:rPr>
              <w:t>24.4</w:t>
            </w:r>
          </w:p>
        </w:tc>
        <w:tc>
          <w:tcPr>
            <w:tcW w:w="1152" w:type="pct"/>
            <w:shd w:val="clear" w:color="auto" w:fill="D6E3BC" w:themeFill="accent3" w:themeFillTint="66"/>
            <w:vAlign w:val="center"/>
          </w:tcPr>
          <w:p w:rsidR="0095585E" w:rsidRPr="00A57B5A" w:rsidRDefault="0095585E" w:rsidP="00FF46E8">
            <w:pPr>
              <w:spacing w:after="120"/>
              <w:jc w:val="center"/>
              <w:rPr>
                <w:rFonts w:asciiTheme="majorHAnsi" w:hAnsiTheme="majorHAnsi" w:cs="Times New Roman"/>
                <w:b/>
              </w:rPr>
            </w:pPr>
            <w:r w:rsidRPr="00A57B5A">
              <w:rPr>
                <w:rFonts w:asciiTheme="majorHAnsi" w:hAnsiTheme="majorHAnsi" w:cs="Times New Roman"/>
                <w:b/>
              </w:rPr>
              <w:t>21.2</w:t>
            </w:r>
          </w:p>
        </w:tc>
      </w:tr>
      <w:tr w:rsidR="0095585E" w:rsidRPr="00A57B5A" w:rsidTr="00D710B2">
        <w:trPr>
          <w:trHeight w:val="448"/>
        </w:trPr>
        <w:tc>
          <w:tcPr>
            <w:tcW w:w="1544" w:type="pct"/>
            <w:shd w:val="clear" w:color="auto" w:fill="F2F2F2" w:themeFill="background1" w:themeFillShade="F2"/>
            <w:vAlign w:val="center"/>
          </w:tcPr>
          <w:p w:rsidR="0095585E" w:rsidRDefault="0095585E" w:rsidP="00FF46E8">
            <w:pPr>
              <w:spacing w:after="120"/>
              <w:jc w:val="center"/>
              <w:rPr>
                <w:rFonts w:asciiTheme="majorHAnsi" w:hAnsiTheme="majorHAnsi" w:cs="Times New Roman"/>
                <w:b/>
              </w:rPr>
            </w:pPr>
            <w:r w:rsidRPr="00A57B5A">
              <w:rPr>
                <w:rFonts w:asciiTheme="majorHAnsi" w:hAnsiTheme="majorHAnsi" w:cs="Times New Roman"/>
                <w:b/>
              </w:rPr>
              <w:t>Assault (homicide)</w:t>
            </w:r>
          </w:p>
          <w:p w:rsidR="0095585E" w:rsidRPr="00A57B5A" w:rsidRDefault="0095585E" w:rsidP="00FF46E8">
            <w:pPr>
              <w:spacing w:after="120"/>
              <w:jc w:val="center"/>
              <w:rPr>
                <w:rFonts w:asciiTheme="majorHAnsi" w:hAnsiTheme="majorHAnsi" w:cs="Times New Roman"/>
                <w:b/>
                <w:sz w:val="18"/>
                <w:szCs w:val="18"/>
              </w:rPr>
            </w:pPr>
            <w:r w:rsidRPr="00D17975">
              <w:rPr>
                <w:rFonts w:asciiTheme="majorHAnsi" w:hAnsiTheme="majorHAnsi" w:cs="Arial"/>
                <w:bCs/>
                <w:sz w:val="18"/>
                <w:szCs w:val="18"/>
              </w:rPr>
              <w:t>(</w:t>
            </w:r>
            <w:r w:rsidRPr="00A57B5A">
              <w:rPr>
                <w:rFonts w:asciiTheme="majorHAnsi" w:hAnsiTheme="majorHAnsi" w:cs="Arial"/>
                <w:bCs/>
                <w:sz w:val="18"/>
                <w:szCs w:val="18"/>
              </w:rPr>
              <w:t>X85-Y09,Y87.1</w:t>
            </w:r>
            <w:r w:rsidRPr="00D17975">
              <w:rPr>
                <w:rFonts w:asciiTheme="majorHAnsi" w:hAnsiTheme="majorHAnsi" w:cs="Arial"/>
                <w:bCs/>
                <w:sz w:val="18"/>
                <w:szCs w:val="18"/>
              </w:rPr>
              <w:t>)</w:t>
            </w:r>
          </w:p>
        </w:tc>
        <w:tc>
          <w:tcPr>
            <w:tcW w:w="1152" w:type="pct"/>
            <w:shd w:val="clear" w:color="auto" w:fill="C6D9F1" w:themeFill="text2" w:themeFillTint="33"/>
            <w:vAlign w:val="center"/>
          </w:tcPr>
          <w:p w:rsidR="0095585E" w:rsidRPr="00A57B5A" w:rsidRDefault="0095585E" w:rsidP="00FF46E8">
            <w:pPr>
              <w:spacing w:after="120"/>
              <w:jc w:val="center"/>
              <w:rPr>
                <w:rFonts w:asciiTheme="majorHAnsi" w:hAnsiTheme="majorHAnsi" w:cs="Arial"/>
                <w:bCs/>
              </w:rPr>
            </w:pPr>
            <w:r>
              <w:rPr>
                <w:rFonts w:asciiTheme="majorHAnsi" w:hAnsiTheme="majorHAnsi" w:cs="Arial"/>
                <w:bCs/>
              </w:rPr>
              <w:t>14.9</w:t>
            </w:r>
          </w:p>
        </w:tc>
        <w:tc>
          <w:tcPr>
            <w:tcW w:w="1152" w:type="pct"/>
            <w:shd w:val="clear" w:color="auto" w:fill="FABF8F" w:themeFill="accent6" w:themeFillTint="99"/>
            <w:vAlign w:val="center"/>
          </w:tcPr>
          <w:p w:rsidR="0095585E" w:rsidRPr="00A57B5A" w:rsidRDefault="0095585E" w:rsidP="00FF46E8">
            <w:pPr>
              <w:spacing w:after="120"/>
              <w:jc w:val="center"/>
              <w:rPr>
                <w:rFonts w:asciiTheme="majorHAnsi" w:hAnsiTheme="majorHAnsi" w:cs="Arial"/>
                <w:bCs/>
              </w:rPr>
            </w:pPr>
            <w:r>
              <w:rPr>
                <w:rFonts w:asciiTheme="majorHAnsi" w:hAnsiTheme="majorHAnsi" w:cs="Arial"/>
                <w:bCs/>
              </w:rPr>
              <w:t>5.7</w:t>
            </w:r>
          </w:p>
        </w:tc>
        <w:tc>
          <w:tcPr>
            <w:tcW w:w="1152" w:type="pct"/>
            <w:shd w:val="clear" w:color="auto" w:fill="D6E3BC" w:themeFill="accent3" w:themeFillTint="66"/>
            <w:vAlign w:val="center"/>
          </w:tcPr>
          <w:p w:rsidR="0095585E" w:rsidRPr="00A57B5A" w:rsidRDefault="0095585E" w:rsidP="00FF46E8">
            <w:pPr>
              <w:autoSpaceDE w:val="0"/>
              <w:autoSpaceDN w:val="0"/>
              <w:adjustRightInd w:val="0"/>
              <w:spacing w:after="120"/>
              <w:jc w:val="center"/>
              <w:rPr>
                <w:rFonts w:asciiTheme="majorHAnsi" w:hAnsiTheme="majorHAnsi" w:cs="IBKDL L+ Helvetica"/>
                <w:color w:val="000000"/>
              </w:rPr>
            </w:pPr>
            <w:r w:rsidRPr="00A57B5A">
              <w:rPr>
                <w:rFonts w:asciiTheme="majorHAnsi" w:hAnsiTheme="majorHAnsi" w:cs="IBKDL L+ Helvetica"/>
                <w:color w:val="000000"/>
              </w:rPr>
              <w:t>5.2</w:t>
            </w:r>
          </w:p>
        </w:tc>
      </w:tr>
      <w:tr w:rsidR="0095585E" w:rsidRPr="00A57B5A" w:rsidTr="00D710B2">
        <w:trPr>
          <w:trHeight w:val="233"/>
        </w:trPr>
        <w:tc>
          <w:tcPr>
            <w:tcW w:w="1544" w:type="pct"/>
            <w:shd w:val="clear" w:color="auto" w:fill="F2F2F2" w:themeFill="background1" w:themeFillShade="F2"/>
            <w:vAlign w:val="center"/>
          </w:tcPr>
          <w:p w:rsidR="0095585E" w:rsidRDefault="0095585E" w:rsidP="00FF46E8">
            <w:pPr>
              <w:spacing w:after="120"/>
              <w:jc w:val="center"/>
              <w:rPr>
                <w:rFonts w:asciiTheme="majorHAnsi" w:hAnsiTheme="majorHAnsi" w:cs="Times New Roman"/>
                <w:b/>
              </w:rPr>
            </w:pPr>
            <w:r w:rsidRPr="00A57B5A">
              <w:rPr>
                <w:rFonts w:asciiTheme="majorHAnsi" w:hAnsiTheme="majorHAnsi" w:cs="Times New Roman"/>
                <w:b/>
              </w:rPr>
              <w:t>Intentional Self-Harm</w:t>
            </w:r>
          </w:p>
          <w:p w:rsidR="0095585E" w:rsidRPr="00A57B5A" w:rsidRDefault="0095585E" w:rsidP="00FF46E8">
            <w:pPr>
              <w:spacing w:after="120"/>
              <w:jc w:val="center"/>
              <w:rPr>
                <w:rFonts w:asciiTheme="majorHAnsi" w:hAnsiTheme="majorHAnsi" w:cs="Times New Roman"/>
                <w:b/>
                <w:sz w:val="18"/>
                <w:szCs w:val="18"/>
              </w:rPr>
            </w:pPr>
            <w:r w:rsidRPr="00D17975">
              <w:rPr>
                <w:rFonts w:asciiTheme="majorHAnsi" w:hAnsiTheme="majorHAnsi" w:cs="Arial"/>
                <w:bCs/>
                <w:sz w:val="18"/>
                <w:szCs w:val="18"/>
              </w:rPr>
              <w:t>(</w:t>
            </w:r>
            <w:r w:rsidRPr="00A57B5A">
              <w:rPr>
                <w:rFonts w:asciiTheme="majorHAnsi" w:hAnsiTheme="majorHAnsi" w:cs="Arial"/>
                <w:bCs/>
                <w:sz w:val="18"/>
                <w:szCs w:val="18"/>
              </w:rPr>
              <w:t>X60-X84,Y87.0</w:t>
            </w:r>
            <w:r w:rsidRPr="00D17975">
              <w:rPr>
                <w:rFonts w:asciiTheme="majorHAnsi" w:hAnsiTheme="majorHAnsi" w:cs="Arial"/>
                <w:bCs/>
                <w:sz w:val="18"/>
                <w:szCs w:val="18"/>
              </w:rPr>
              <w:t>)</w:t>
            </w:r>
          </w:p>
        </w:tc>
        <w:tc>
          <w:tcPr>
            <w:tcW w:w="1152" w:type="pct"/>
            <w:shd w:val="clear" w:color="auto" w:fill="C6D9F1" w:themeFill="text2" w:themeFillTint="33"/>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bCs/>
              </w:rPr>
              <w:t>14.0</w:t>
            </w:r>
          </w:p>
        </w:tc>
        <w:tc>
          <w:tcPr>
            <w:tcW w:w="1152" w:type="pct"/>
            <w:shd w:val="clear" w:color="auto" w:fill="FABF8F" w:themeFill="accent6" w:themeFillTint="99"/>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bCs/>
              </w:rPr>
              <w:t>14.2</w:t>
            </w:r>
          </w:p>
        </w:tc>
        <w:tc>
          <w:tcPr>
            <w:tcW w:w="1152" w:type="pct"/>
            <w:shd w:val="clear" w:color="auto" w:fill="D6E3BC" w:themeFill="accent3" w:themeFillTint="66"/>
            <w:vAlign w:val="center"/>
          </w:tcPr>
          <w:p w:rsidR="0095585E" w:rsidRPr="00A57B5A" w:rsidRDefault="0095585E" w:rsidP="00FF46E8">
            <w:pPr>
              <w:autoSpaceDE w:val="0"/>
              <w:autoSpaceDN w:val="0"/>
              <w:adjustRightInd w:val="0"/>
              <w:spacing w:after="120"/>
              <w:jc w:val="center"/>
              <w:rPr>
                <w:rFonts w:asciiTheme="majorHAnsi" w:hAnsiTheme="majorHAnsi" w:cs="IBKDL L+ Helvetica"/>
                <w:color w:val="000000"/>
              </w:rPr>
            </w:pPr>
            <w:r w:rsidRPr="00A57B5A">
              <w:rPr>
                <w:rFonts w:asciiTheme="majorHAnsi" w:hAnsiTheme="majorHAnsi" w:cs="IBKDL L+ Helvetica"/>
                <w:color w:val="000000"/>
              </w:rPr>
              <w:t>12.6</w:t>
            </w:r>
          </w:p>
        </w:tc>
      </w:tr>
      <w:tr w:rsidR="0095585E" w:rsidRPr="00A57B5A" w:rsidTr="00D710B2">
        <w:trPr>
          <w:trHeight w:val="388"/>
        </w:trPr>
        <w:tc>
          <w:tcPr>
            <w:tcW w:w="1544" w:type="pct"/>
            <w:shd w:val="clear" w:color="auto" w:fill="F2F2F2" w:themeFill="background1" w:themeFillShade="F2"/>
            <w:vAlign w:val="center"/>
          </w:tcPr>
          <w:p w:rsidR="0095585E" w:rsidRPr="00A57B5A" w:rsidRDefault="0095585E" w:rsidP="00FF46E8">
            <w:pPr>
              <w:spacing w:after="120"/>
              <w:jc w:val="center"/>
              <w:rPr>
                <w:rFonts w:asciiTheme="majorHAnsi" w:hAnsiTheme="majorHAnsi" w:cs="Times New Roman"/>
                <w:b/>
              </w:rPr>
            </w:pPr>
            <w:r w:rsidRPr="00A57B5A">
              <w:rPr>
                <w:rFonts w:asciiTheme="majorHAnsi" w:hAnsiTheme="majorHAnsi" w:cs="Times New Roman"/>
                <w:b/>
              </w:rPr>
              <w:t>Overall</w:t>
            </w:r>
          </w:p>
        </w:tc>
        <w:tc>
          <w:tcPr>
            <w:tcW w:w="1152" w:type="pct"/>
            <w:shd w:val="clear" w:color="auto" w:fill="C6D9F1" w:themeFill="text2" w:themeFillTint="33"/>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bCs/>
              </w:rPr>
              <w:t>833.6</w:t>
            </w:r>
          </w:p>
        </w:tc>
        <w:tc>
          <w:tcPr>
            <w:tcW w:w="1152" w:type="pct"/>
            <w:shd w:val="clear" w:color="auto" w:fill="FABF8F" w:themeFill="accent6" w:themeFillTint="99"/>
            <w:vAlign w:val="center"/>
          </w:tcPr>
          <w:p w:rsidR="0095585E" w:rsidRPr="00A57B5A" w:rsidRDefault="0095585E" w:rsidP="00FF46E8">
            <w:pPr>
              <w:spacing w:after="120"/>
              <w:jc w:val="center"/>
              <w:rPr>
                <w:rFonts w:asciiTheme="majorHAnsi" w:hAnsiTheme="majorHAnsi" w:cs="Times New Roman"/>
              </w:rPr>
            </w:pPr>
            <w:r>
              <w:rPr>
                <w:rFonts w:asciiTheme="majorHAnsi" w:hAnsiTheme="majorHAnsi" w:cs="Arial"/>
                <w:bCs/>
              </w:rPr>
              <w:t>820.4</w:t>
            </w:r>
          </w:p>
        </w:tc>
        <w:tc>
          <w:tcPr>
            <w:tcW w:w="1152" w:type="pct"/>
            <w:shd w:val="clear" w:color="auto" w:fill="D6E3BC" w:themeFill="accent3" w:themeFillTint="66"/>
            <w:vAlign w:val="center"/>
          </w:tcPr>
          <w:p w:rsidR="0095585E" w:rsidRDefault="0095585E" w:rsidP="00FF46E8">
            <w:pPr>
              <w:autoSpaceDE w:val="0"/>
              <w:autoSpaceDN w:val="0"/>
              <w:adjustRightInd w:val="0"/>
              <w:spacing w:after="120"/>
              <w:jc w:val="center"/>
              <w:rPr>
                <w:rFonts w:asciiTheme="majorHAnsi" w:hAnsiTheme="majorHAnsi" w:cs="IBKDL L+ Helvetica"/>
                <w:color w:val="000000"/>
              </w:rPr>
            </w:pPr>
          </w:p>
          <w:p w:rsidR="0095585E" w:rsidRPr="00A57B5A" w:rsidRDefault="0095585E" w:rsidP="00FF46E8">
            <w:pPr>
              <w:autoSpaceDE w:val="0"/>
              <w:autoSpaceDN w:val="0"/>
              <w:adjustRightInd w:val="0"/>
              <w:spacing w:after="120"/>
              <w:jc w:val="center"/>
              <w:rPr>
                <w:rFonts w:asciiTheme="majorHAnsi" w:hAnsiTheme="majorHAnsi" w:cs="IBKDL L+ Helvetica"/>
                <w:color w:val="000000"/>
              </w:rPr>
            </w:pPr>
            <w:r w:rsidRPr="00A57B5A">
              <w:rPr>
                <w:rFonts w:asciiTheme="majorHAnsi" w:hAnsiTheme="majorHAnsi" w:cs="IBKDL L+ Helvetica"/>
                <w:color w:val="000000"/>
              </w:rPr>
              <w:t>731.9</w:t>
            </w:r>
          </w:p>
          <w:p w:rsidR="0095585E" w:rsidRPr="00A57B5A" w:rsidRDefault="0095585E" w:rsidP="00FF46E8">
            <w:pPr>
              <w:spacing w:after="120"/>
              <w:jc w:val="center"/>
              <w:rPr>
                <w:rFonts w:asciiTheme="majorHAnsi" w:hAnsiTheme="majorHAnsi" w:cs="Times New Roman"/>
              </w:rPr>
            </w:pPr>
          </w:p>
        </w:tc>
      </w:tr>
    </w:tbl>
    <w:p w:rsidR="002573FF" w:rsidRPr="00F32253" w:rsidRDefault="002573FF" w:rsidP="00FF46E8">
      <w:pPr>
        <w:spacing w:after="120"/>
        <w:rPr>
          <w:sz w:val="18"/>
          <w:szCs w:val="18"/>
        </w:rPr>
      </w:pPr>
      <w:r w:rsidRPr="00F32253">
        <w:rPr>
          <w:sz w:val="18"/>
          <w:szCs w:val="18"/>
        </w:rPr>
        <w:t>Source: Marion County Death Records, U.S. Census Data, DR2851;</w:t>
      </w:r>
      <w:r w:rsidR="00B95A35" w:rsidRPr="00F32253">
        <w:rPr>
          <w:sz w:val="18"/>
          <w:szCs w:val="18"/>
        </w:rPr>
        <w:t xml:space="preserve"> Indiana State Department of Health Mortality Report-2014, Table 5-0; National vital statistics reports, volume 64, no 2.</w:t>
      </w:r>
    </w:p>
    <w:p w:rsidR="00E00669" w:rsidRDefault="00E00669" w:rsidP="00FF46E8">
      <w:pPr>
        <w:spacing w:after="120"/>
      </w:pPr>
    </w:p>
    <w:p w:rsidR="00F32253" w:rsidRPr="00F32253" w:rsidRDefault="00F32253" w:rsidP="00FF46E8">
      <w:pPr>
        <w:pStyle w:val="Caption"/>
        <w:keepNext/>
        <w:spacing w:after="120"/>
        <w:rPr>
          <w:color w:val="auto"/>
        </w:rPr>
      </w:pPr>
      <w:bookmarkStart w:id="18" w:name="_Ref451946961"/>
      <w:r w:rsidRPr="00F32253">
        <w:rPr>
          <w:color w:val="auto"/>
        </w:rPr>
        <w:lastRenderedPageBreak/>
        <w:t xml:space="preserve">Table </w:t>
      </w:r>
      <w:r w:rsidRPr="00F32253">
        <w:rPr>
          <w:color w:val="auto"/>
        </w:rPr>
        <w:fldChar w:fldCharType="begin"/>
      </w:r>
      <w:r w:rsidRPr="00F32253">
        <w:rPr>
          <w:color w:val="auto"/>
        </w:rPr>
        <w:instrText xml:space="preserve"> SEQ Table \* ARABIC </w:instrText>
      </w:r>
      <w:r w:rsidRPr="00F32253">
        <w:rPr>
          <w:color w:val="auto"/>
        </w:rPr>
        <w:fldChar w:fldCharType="separate"/>
      </w:r>
      <w:r w:rsidR="006F0DB7">
        <w:rPr>
          <w:noProof/>
          <w:color w:val="auto"/>
        </w:rPr>
        <w:t>5</w:t>
      </w:r>
      <w:r w:rsidRPr="00F32253">
        <w:rPr>
          <w:color w:val="auto"/>
        </w:rPr>
        <w:fldChar w:fldCharType="end"/>
      </w:r>
      <w:bookmarkEnd w:id="18"/>
      <w:r w:rsidRPr="00F32253">
        <w:rPr>
          <w:color w:val="auto"/>
        </w:rPr>
        <w:t xml:space="preserve">: Marion County diabetes mortality rate per 100,000 </w:t>
      </w:r>
      <w:proofErr w:type="gramStart"/>
      <w:r w:rsidRPr="00F32253">
        <w:rPr>
          <w:color w:val="auto"/>
        </w:rPr>
        <w:t>population</w:t>
      </w:r>
      <w:proofErr w:type="gramEnd"/>
      <w:r w:rsidRPr="00F32253">
        <w:rPr>
          <w:color w:val="auto"/>
        </w:rPr>
        <w:t xml:space="preserve"> by race, 2014</w:t>
      </w: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786"/>
      </w:tblGrid>
      <w:tr w:rsidR="00417802" w:rsidRPr="00A129D0" w:rsidTr="0041780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501" w:type="pct"/>
          </w:tcPr>
          <w:p w:rsidR="00417802" w:rsidRPr="00A129D0" w:rsidRDefault="00417802" w:rsidP="00FF46E8">
            <w:pPr>
              <w:spacing w:after="120"/>
              <w:ind w:left="720" w:hanging="720"/>
              <w:jc w:val="center"/>
            </w:pPr>
            <w:r>
              <w:t>Race/Ethnicity</w:t>
            </w:r>
          </w:p>
        </w:tc>
        <w:tc>
          <w:tcPr>
            <w:tcW w:w="2499" w:type="pct"/>
          </w:tcPr>
          <w:p w:rsidR="00417802" w:rsidRPr="00A129D0" w:rsidRDefault="00417802" w:rsidP="00FF46E8">
            <w:pPr>
              <w:spacing w:after="120"/>
              <w:ind w:left="720" w:hanging="720"/>
              <w:cnfStyle w:val="100000000000" w:firstRow="1" w:lastRow="0" w:firstColumn="0" w:lastColumn="0" w:oddVBand="0" w:evenVBand="0" w:oddHBand="0" w:evenHBand="0" w:firstRowFirstColumn="0" w:firstRowLastColumn="0" w:lastRowFirstColumn="0" w:lastRowLastColumn="0"/>
            </w:pPr>
            <w:r>
              <w:t>Diabetes Deaths per 100,000 Population</w:t>
            </w:r>
          </w:p>
        </w:tc>
      </w:tr>
      <w:tr w:rsidR="00417802" w:rsidRPr="00A129D0" w:rsidTr="004178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501" w:type="pct"/>
            <w:tcBorders>
              <w:top w:val="none" w:sz="0" w:space="0" w:color="auto"/>
              <w:left w:val="none" w:sz="0" w:space="0" w:color="auto"/>
              <w:bottom w:val="none" w:sz="0" w:space="0" w:color="auto"/>
            </w:tcBorders>
          </w:tcPr>
          <w:p w:rsidR="00417802" w:rsidRPr="00417802" w:rsidRDefault="00417802" w:rsidP="00FF46E8">
            <w:pPr>
              <w:spacing w:after="120"/>
              <w:ind w:left="720" w:hanging="720"/>
              <w:jc w:val="center"/>
              <w:rPr>
                <w:b w:val="0"/>
              </w:rPr>
            </w:pPr>
            <w:r w:rsidRPr="00417802">
              <w:rPr>
                <w:b w:val="0"/>
              </w:rPr>
              <w:t>Hispanic</w:t>
            </w:r>
            <w:r>
              <w:rPr>
                <w:b w:val="0"/>
              </w:rPr>
              <w:t xml:space="preserve"> </w:t>
            </w:r>
          </w:p>
        </w:tc>
        <w:tc>
          <w:tcPr>
            <w:tcW w:w="2499" w:type="pct"/>
            <w:tcBorders>
              <w:top w:val="none" w:sz="0" w:space="0" w:color="auto"/>
              <w:bottom w:val="none" w:sz="0" w:space="0" w:color="auto"/>
              <w:right w:val="none" w:sz="0" w:space="0" w:color="auto"/>
            </w:tcBorders>
            <w:vAlign w:val="center"/>
          </w:tcPr>
          <w:p w:rsidR="00417802" w:rsidRPr="00A129D0" w:rsidRDefault="00417802" w:rsidP="00FF46E8">
            <w:pPr>
              <w:spacing w:after="120"/>
              <w:ind w:left="720" w:hanging="720"/>
              <w:jc w:val="center"/>
              <w:cnfStyle w:val="000000100000" w:firstRow="0" w:lastRow="0" w:firstColumn="0" w:lastColumn="0" w:oddVBand="0" w:evenVBand="0" w:oddHBand="1" w:evenHBand="0" w:firstRowFirstColumn="0" w:firstRowLastColumn="0" w:lastRowFirstColumn="0" w:lastRowLastColumn="0"/>
            </w:pPr>
            <w:r>
              <w:t>&lt;5</w:t>
            </w:r>
          </w:p>
        </w:tc>
      </w:tr>
      <w:tr w:rsidR="00417802" w:rsidRPr="00A129D0" w:rsidTr="00417802">
        <w:trPr>
          <w:trHeight w:val="290"/>
        </w:trPr>
        <w:tc>
          <w:tcPr>
            <w:cnfStyle w:val="001000000000" w:firstRow="0" w:lastRow="0" w:firstColumn="1" w:lastColumn="0" w:oddVBand="0" w:evenVBand="0" w:oddHBand="0" w:evenHBand="0" w:firstRowFirstColumn="0" w:firstRowLastColumn="0" w:lastRowFirstColumn="0" w:lastRowLastColumn="0"/>
            <w:tcW w:w="2501" w:type="pct"/>
          </w:tcPr>
          <w:p w:rsidR="00417802" w:rsidRPr="00417802" w:rsidRDefault="00417802" w:rsidP="00FF46E8">
            <w:pPr>
              <w:spacing w:after="120"/>
              <w:ind w:left="720" w:hanging="720"/>
              <w:jc w:val="center"/>
              <w:rPr>
                <w:b w:val="0"/>
              </w:rPr>
            </w:pPr>
            <w:r w:rsidRPr="00417802">
              <w:rPr>
                <w:b w:val="0"/>
              </w:rPr>
              <w:t>Black, non-Latino</w:t>
            </w:r>
          </w:p>
        </w:tc>
        <w:tc>
          <w:tcPr>
            <w:tcW w:w="2499" w:type="pct"/>
            <w:vAlign w:val="center"/>
          </w:tcPr>
          <w:p w:rsidR="00417802" w:rsidRDefault="00417802" w:rsidP="00FF46E8">
            <w:pPr>
              <w:spacing w:after="120"/>
              <w:ind w:left="720" w:hanging="720"/>
              <w:jc w:val="center"/>
              <w:cnfStyle w:val="000000000000" w:firstRow="0" w:lastRow="0" w:firstColumn="0" w:lastColumn="0" w:oddVBand="0" w:evenVBand="0" w:oddHBand="0" w:evenHBand="0" w:firstRowFirstColumn="0" w:firstRowLastColumn="0" w:lastRowFirstColumn="0" w:lastRowLastColumn="0"/>
            </w:pPr>
            <w:r>
              <w:t>23.0</w:t>
            </w:r>
          </w:p>
        </w:tc>
      </w:tr>
      <w:tr w:rsidR="00417802" w:rsidRPr="00A129D0" w:rsidTr="004178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501" w:type="pct"/>
            <w:tcBorders>
              <w:top w:val="none" w:sz="0" w:space="0" w:color="auto"/>
              <w:left w:val="none" w:sz="0" w:space="0" w:color="auto"/>
              <w:bottom w:val="none" w:sz="0" w:space="0" w:color="auto"/>
            </w:tcBorders>
          </w:tcPr>
          <w:p w:rsidR="00417802" w:rsidRPr="00417802" w:rsidRDefault="00417802" w:rsidP="00FF46E8">
            <w:pPr>
              <w:spacing w:after="120"/>
              <w:ind w:left="720" w:hanging="720"/>
              <w:jc w:val="center"/>
              <w:rPr>
                <w:b w:val="0"/>
              </w:rPr>
            </w:pPr>
            <w:r w:rsidRPr="00417802">
              <w:rPr>
                <w:b w:val="0"/>
              </w:rPr>
              <w:t>White, non-Latino</w:t>
            </w:r>
          </w:p>
        </w:tc>
        <w:tc>
          <w:tcPr>
            <w:tcW w:w="2499" w:type="pct"/>
            <w:tcBorders>
              <w:top w:val="none" w:sz="0" w:space="0" w:color="auto"/>
              <w:bottom w:val="none" w:sz="0" w:space="0" w:color="auto"/>
              <w:right w:val="none" w:sz="0" w:space="0" w:color="auto"/>
            </w:tcBorders>
            <w:vAlign w:val="center"/>
          </w:tcPr>
          <w:p w:rsidR="00417802" w:rsidRDefault="00417802" w:rsidP="00FF46E8">
            <w:pPr>
              <w:spacing w:after="120"/>
              <w:ind w:left="720" w:hanging="720"/>
              <w:jc w:val="center"/>
              <w:cnfStyle w:val="000000100000" w:firstRow="0" w:lastRow="0" w:firstColumn="0" w:lastColumn="0" w:oddVBand="0" w:evenVBand="0" w:oddHBand="1" w:evenHBand="0" w:firstRowFirstColumn="0" w:firstRowLastColumn="0" w:lastRowFirstColumn="0" w:lastRowLastColumn="0"/>
            </w:pPr>
            <w:r>
              <w:t>16.7</w:t>
            </w:r>
          </w:p>
        </w:tc>
      </w:tr>
    </w:tbl>
    <w:p w:rsidR="00A57B5A" w:rsidRDefault="00B95A35" w:rsidP="00FF46E8">
      <w:pPr>
        <w:spacing w:after="120"/>
        <w:rPr>
          <w:sz w:val="18"/>
          <w:szCs w:val="18"/>
        </w:rPr>
      </w:pPr>
      <w:r w:rsidRPr="00F32253">
        <w:rPr>
          <w:sz w:val="18"/>
          <w:szCs w:val="18"/>
        </w:rPr>
        <w:t>Source: Marion County Death Records, U.S. Census Data, DR2851</w:t>
      </w:r>
    </w:p>
    <w:p w:rsidR="002C763C" w:rsidRDefault="002C763C" w:rsidP="00FF46E8">
      <w:pPr>
        <w:keepNext/>
        <w:spacing w:after="120" w:line="240" w:lineRule="auto"/>
        <w:outlineLvl w:val="2"/>
        <w:rPr>
          <w:rFonts w:asciiTheme="majorHAnsi" w:eastAsia="Arial Unicode MS" w:hAnsiTheme="majorHAnsi" w:cs="Arial"/>
          <w:b/>
          <w:bCs/>
          <w:sz w:val="28"/>
          <w:szCs w:val="28"/>
        </w:rPr>
      </w:pPr>
    </w:p>
    <w:p w:rsidR="00236FD7" w:rsidRPr="00C773BB" w:rsidRDefault="002C763C" w:rsidP="00FF46E8">
      <w:pPr>
        <w:keepNext/>
        <w:spacing w:after="120" w:line="240" w:lineRule="auto"/>
        <w:outlineLvl w:val="2"/>
        <w:rPr>
          <w:rFonts w:asciiTheme="majorHAnsi" w:eastAsia="Arial Unicode MS" w:hAnsiTheme="majorHAnsi" w:cs="Arial"/>
          <w:b/>
          <w:bCs/>
          <w:sz w:val="28"/>
          <w:szCs w:val="28"/>
        </w:rPr>
      </w:pPr>
      <w:r>
        <w:rPr>
          <w:rFonts w:asciiTheme="majorHAnsi" w:eastAsia="Arial Unicode MS" w:hAnsiTheme="majorHAnsi" w:cs="Arial"/>
          <w:b/>
          <w:bCs/>
          <w:sz w:val="28"/>
          <w:szCs w:val="28"/>
        </w:rPr>
        <w:t>Cost of Diabetes</w:t>
      </w:r>
    </w:p>
    <w:p w:rsidR="00236FD7" w:rsidRDefault="00236FD7" w:rsidP="00FF46E8">
      <w:pPr>
        <w:spacing w:after="120"/>
        <w:rPr>
          <w:sz w:val="18"/>
          <w:szCs w:val="18"/>
        </w:rPr>
      </w:pPr>
    </w:p>
    <w:p w:rsidR="002C763C" w:rsidRPr="002C763C" w:rsidRDefault="002C763C" w:rsidP="00FF46E8">
      <w:pPr>
        <w:pStyle w:val="BodyText"/>
        <w:spacing w:line="276" w:lineRule="auto"/>
        <w:rPr>
          <w:rFonts w:asciiTheme="minorHAnsi" w:hAnsiTheme="minorHAnsi"/>
          <w:sz w:val="22"/>
          <w:szCs w:val="22"/>
        </w:rPr>
      </w:pPr>
      <w:r>
        <w:rPr>
          <w:rFonts w:asciiTheme="minorHAnsi" w:hAnsiTheme="minorHAnsi"/>
          <w:sz w:val="22"/>
          <w:szCs w:val="22"/>
        </w:rPr>
        <w:t>In 2012</w:t>
      </w:r>
      <w:r w:rsidRPr="004567CF">
        <w:rPr>
          <w:rFonts w:asciiTheme="minorHAnsi" w:hAnsiTheme="minorHAnsi"/>
          <w:sz w:val="22"/>
          <w:szCs w:val="22"/>
        </w:rPr>
        <w:t xml:space="preserve">, the estimated total </w:t>
      </w:r>
      <w:r>
        <w:rPr>
          <w:rFonts w:asciiTheme="minorHAnsi" w:hAnsiTheme="minorHAnsi"/>
          <w:sz w:val="22"/>
          <w:szCs w:val="22"/>
        </w:rPr>
        <w:t>cost of diabetes in the United States was $245</w:t>
      </w:r>
      <w:r w:rsidRPr="004567CF">
        <w:rPr>
          <w:rFonts w:asciiTheme="minorHAnsi" w:hAnsiTheme="minorHAnsi"/>
          <w:sz w:val="22"/>
          <w:szCs w:val="22"/>
        </w:rPr>
        <w:t xml:space="preserve"> billion</w:t>
      </w:r>
      <w:r>
        <w:rPr>
          <w:rFonts w:asciiTheme="minorHAnsi" w:hAnsiTheme="minorHAnsi"/>
          <w:sz w:val="22"/>
          <w:szCs w:val="22"/>
        </w:rPr>
        <w:t>.</w:t>
      </w:r>
      <w:r w:rsidRPr="002C763C">
        <w:rPr>
          <w:rFonts w:asciiTheme="minorHAnsi" w:hAnsiTheme="minorHAnsi"/>
          <w:sz w:val="22"/>
          <w:szCs w:val="22"/>
          <w:vertAlign w:val="superscript"/>
        </w:rPr>
        <w:fldChar w:fldCharType="begin"/>
      </w:r>
      <w:r w:rsidRPr="002C763C">
        <w:rPr>
          <w:rFonts w:asciiTheme="minorHAnsi" w:hAnsiTheme="minorHAnsi"/>
          <w:sz w:val="22"/>
          <w:szCs w:val="22"/>
          <w:vertAlign w:val="superscript"/>
        </w:rPr>
        <w:instrText xml:space="preserve"> NOTEREF _Ref451945121 \h </w:instrText>
      </w:r>
      <w:r>
        <w:rPr>
          <w:rFonts w:asciiTheme="minorHAnsi" w:hAnsiTheme="minorHAnsi"/>
          <w:sz w:val="22"/>
          <w:szCs w:val="22"/>
          <w:vertAlign w:val="superscript"/>
        </w:rPr>
        <w:instrText xml:space="preserve"> \* MERGEFORMAT </w:instrText>
      </w:r>
      <w:r w:rsidRPr="002C763C">
        <w:rPr>
          <w:rFonts w:asciiTheme="minorHAnsi" w:hAnsiTheme="minorHAnsi"/>
          <w:sz w:val="22"/>
          <w:szCs w:val="22"/>
          <w:vertAlign w:val="superscript"/>
        </w:rPr>
      </w:r>
      <w:r w:rsidRPr="002C763C">
        <w:rPr>
          <w:rFonts w:asciiTheme="minorHAnsi" w:hAnsiTheme="minorHAnsi"/>
          <w:sz w:val="22"/>
          <w:szCs w:val="22"/>
          <w:vertAlign w:val="superscript"/>
        </w:rPr>
        <w:fldChar w:fldCharType="separate"/>
      </w:r>
      <w:r w:rsidR="006F0DB7">
        <w:rPr>
          <w:rFonts w:asciiTheme="minorHAnsi" w:hAnsiTheme="minorHAnsi"/>
          <w:sz w:val="22"/>
          <w:szCs w:val="22"/>
          <w:vertAlign w:val="superscript"/>
        </w:rPr>
        <w:t>9</w:t>
      </w:r>
      <w:r w:rsidRPr="002C763C">
        <w:rPr>
          <w:rFonts w:asciiTheme="minorHAnsi" w:hAnsiTheme="minorHAnsi"/>
          <w:sz w:val="22"/>
          <w:szCs w:val="22"/>
          <w:vertAlign w:val="superscript"/>
        </w:rPr>
        <w:fldChar w:fldCharType="end"/>
      </w:r>
      <w:r>
        <w:rPr>
          <w:rFonts w:asciiTheme="minorHAnsi" w:hAnsiTheme="minorHAnsi"/>
          <w:sz w:val="22"/>
          <w:szCs w:val="22"/>
        </w:rPr>
        <w:t xml:space="preserve">  This estimate includes</w:t>
      </w:r>
      <w:r w:rsidRPr="003F677F">
        <w:rPr>
          <w:rFonts w:asciiTheme="minorHAnsi" w:hAnsiTheme="minorHAnsi"/>
          <w:sz w:val="22"/>
          <w:szCs w:val="22"/>
        </w:rPr>
        <w:t xml:space="preserve"> $176 billion for direct medical costs and $69 billion in reduced productivity.</w:t>
      </w:r>
      <w:r>
        <w:rPr>
          <w:rFonts w:asciiTheme="minorHAnsi" w:hAnsiTheme="minorHAnsi"/>
          <w:sz w:val="22"/>
          <w:szCs w:val="22"/>
        </w:rPr>
        <w:t xml:space="preserve"> </w:t>
      </w:r>
      <w:r w:rsidRPr="002C763C">
        <w:rPr>
          <w:rFonts w:asciiTheme="minorHAnsi" w:hAnsiTheme="minorHAnsi"/>
          <w:sz w:val="22"/>
          <w:szCs w:val="22"/>
          <w:vertAlign w:val="superscript"/>
        </w:rPr>
        <w:fldChar w:fldCharType="begin"/>
      </w:r>
      <w:r w:rsidRPr="002C763C">
        <w:rPr>
          <w:rFonts w:asciiTheme="minorHAnsi" w:hAnsiTheme="minorHAnsi"/>
          <w:sz w:val="22"/>
          <w:szCs w:val="22"/>
          <w:vertAlign w:val="superscript"/>
        </w:rPr>
        <w:instrText xml:space="preserve"> NOTEREF _Ref451945121 \h </w:instrText>
      </w:r>
      <w:r>
        <w:rPr>
          <w:rFonts w:asciiTheme="minorHAnsi" w:hAnsiTheme="minorHAnsi"/>
          <w:sz w:val="22"/>
          <w:szCs w:val="22"/>
          <w:vertAlign w:val="superscript"/>
        </w:rPr>
        <w:instrText xml:space="preserve"> \* MERGEFORMAT </w:instrText>
      </w:r>
      <w:r w:rsidRPr="002C763C">
        <w:rPr>
          <w:rFonts w:asciiTheme="minorHAnsi" w:hAnsiTheme="minorHAnsi"/>
          <w:sz w:val="22"/>
          <w:szCs w:val="22"/>
          <w:vertAlign w:val="superscript"/>
        </w:rPr>
      </w:r>
      <w:r w:rsidRPr="002C763C">
        <w:rPr>
          <w:rFonts w:asciiTheme="minorHAnsi" w:hAnsiTheme="minorHAnsi"/>
          <w:sz w:val="22"/>
          <w:szCs w:val="22"/>
          <w:vertAlign w:val="superscript"/>
        </w:rPr>
        <w:fldChar w:fldCharType="separate"/>
      </w:r>
      <w:r w:rsidR="006F0DB7">
        <w:rPr>
          <w:rFonts w:asciiTheme="minorHAnsi" w:hAnsiTheme="minorHAnsi"/>
          <w:sz w:val="22"/>
          <w:szCs w:val="22"/>
          <w:vertAlign w:val="superscript"/>
        </w:rPr>
        <w:t>9</w:t>
      </w:r>
      <w:r w:rsidRPr="002C763C">
        <w:rPr>
          <w:rFonts w:asciiTheme="minorHAnsi" w:hAnsiTheme="minorHAnsi"/>
          <w:sz w:val="22"/>
          <w:szCs w:val="22"/>
          <w:vertAlign w:val="superscript"/>
        </w:rPr>
        <w:fldChar w:fldCharType="end"/>
      </w:r>
      <w:r w:rsidRPr="002C763C">
        <w:rPr>
          <w:rFonts w:asciiTheme="minorHAnsi" w:hAnsiTheme="minorHAnsi"/>
          <w:sz w:val="22"/>
          <w:szCs w:val="22"/>
          <w:vertAlign w:val="superscript"/>
        </w:rPr>
        <w:t xml:space="preserve"> </w:t>
      </w:r>
      <w:r w:rsidRPr="002C763C">
        <w:rPr>
          <w:rFonts w:asciiTheme="minorHAnsi" w:hAnsiTheme="minorHAnsi"/>
          <w:color w:val="221B11"/>
          <w:sz w:val="22"/>
          <w:szCs w:val="22"/>
          <w:shd w:val="clear" w:color="auto" w:fill="FFFFFF"/>
        </w:rPr>
        <w:t>After adjusting for population age and sex differences, average medical expenditures among people with diagnosed diabetes were 2.3 times higher than what expenditures would be in the absence of diabetes</w:t>
      </w:r>
      <w:r>
        <w:rPr>
          <w:rFonts w:asciiTheme="minorHAnsi" w:hAnsiTheme="minorHAnsi"/>
          <w:color w:val="221B11"/>
          <w:sz w:val="22"/>
          <w:szCs w:val="22"/>
          <w:shd w:val="clear" w:color="auto" w:fill="FFFFFF"/>
        </w:rPr>
        <w:t>.</w:t>
      </w:r>
      <w:r w:rsidRPr="002C763C">
        <w:rPr>
          <w:rFonts w:asciiTheme="minorHAnsi" w:hAnsiTheme="minorHAnsi"/>
          <w:color w:val="221B11"/>
          <w:sz w:val="22"/>
          <w:szCs w:val="22"/>
          <w:shd w:val="clear" w:color="auto" w:fill="FFFFFF"/>
          <w:vertAlign w:val="superscript"/>
        </w:rPr>
        <w:fldChar w:fldCharType="begin"/>
      </w:r>
      <w:r w:rsidRPr="002C763C">
        <w:rPr>
          <w:rFonts w:asciiTheme="minorHAnsi" w:hAnsiTheme="minorHAnsi"/>
          <w:color w:val="221B11"/>
          <w:sz w:val="22"/>
          <w:szCs w:val="22"/>
          <w:shd w:val="clear" w:color="auto" w:fill="FFFFFF"/>
          <w:vertAlign w:val="superscript"/>
        </w:rPr>
        <w:instrText xml:space="preserve"> NOTEREF _Ref451945121 \h </w:instrText>
      </w:r>
      <w:r>
        <w:rPr>
          <w:rFonts w:asciiTheme="minorHAnsi" w:hAnsiTheme="minorHAnsi"/>
          <w:color w:val="221B11"/>
          <w:sz w:val="22"/>
          <w:szCs w:val="22"/>
          <w:shd w:val="clear" w:color="auto" w:fill="FFFFFF"/>
          <w:vertAlign w:val="superscript"/>
        </w:rPr>
        <w:instrText xml:space="preserve"> \* MERGEFORMAT </w:instrText>
      </w:r>
      <w:r w:rsidRPr="002C763C">
        <w:rPr>
          <w:rFonts w:asciiTheme="minorHAnsi" w:hAnsiTheme="minorHAnsi"/>
          <w:color w:val="221B11"/>
          <w:sz w:val="22"/>
          <w:szCs w:val="22"/>
          <w:shd w:val="clear" w:color="auto" w:fill="FFFFFF"/>
          <w:vertAlign w:val="superscript"/>
        </w:rPr>
      </w:r>
      <w:r w:rsidRPr="002C763C">
        <w:rPr>
          <w:rFonts w:asciiTheme="minorHAnsi" w:hAnsiTheme="minorHAnsi"/>
          <w:color w:val="221B11"/>
          <w:sz w:val="22"/>
          <w:szCs w:val="22"/>
          <w:shd w:val="clear" w:color="auto" w:fill="FFFFFF"/>
          <w:vertAlign w:val="superscript"/>
        </w:rPr>
        <w:fldChar w:fldCharType="separate"/>
      </w:r>
      <w:r w:rsidR="006F0DB7">
        <w:rPr>
          <w:rFonts w:asciiTheme="minorHAnsi" w:hAnsiTheme="minorHAnsi"/>
          <w:color w:val="221B11"/>
          <w:sz w:val="22"/>
          <w:szCs w:val="22"/>
          <w:shd w:val="clear" w:color="auto" w:fill="FFFFFF"/>
          <w:vertAlign w:val="superscript"/>
        </w:rPr>
        <w:t>9</w:t>
      </w:r>
      <w:r w:rsidRPr="002C763C">
        <w:rPr>
          <w:rFonts w:asciiTheme="minorHAnsi" w:hAnsiTheme="minorHAnsi"/>
          <w:color w:val="221B11"/>
          <w:sz w:val="22"/>
          <w:szCs w:val="22"/>
          <w:shd w:val="clear" w:color="auto" w:fill="FFFFFF"/>
          <w:vertAlign w:val="superscript"/>
        </w:rPr>
        <w:fldChar w:fldCharType="end"/>
      </w:r>
    </w:p>
    <w:p w:rsidR="002C763C" w:rsidRPr="004567CF" w:rsidRDefault="002C763C" w:rsidP="00FF46E8">
      <w:pPr>
        <w:pStyle w:val="BodyText"/>
        <w:ind w:left="720"/>
        <w:rPr>
          <w:rFonts w:asciiTheme="minorHAnsi" w:hAnsiTheme="minorHAnsi"/>
          <w:sz w:val="22"/>
          <w:szCs w:val="22"/>
        </w:rPr>
      </w:pPr>
    </w:p>
    <w:p w:rsidR="002C763C" w:rsidRDefault="002C763C" w:rsidP="00FF46E8">
      <w:pPr>
        <w:spacing w:after="120"/>
        <w:rPr>
          <w:sz w:val="18"/>
          <w:szCs w:val="18"/>
        </w:rPr>
      </w:pPr>
    </w:p>
    <w:p w:rsidR="002C763C" w:rsidRPr="00F32253" w:rsidRDefault="002C763C" w:rsidP="00FF46E8">
      <w:pPr>
        <w:spacing w:after="120"/>
        <w:rPr>
          <w:sz w:val="18"/>
          <w:szCs w:val="18"/>
        </w:rPr>
      </w:pPr>
    </w:p>
    <w:sectPr w:rsidR="002C763C" w:rsidRPr="00F32253" w:rsidSect="00937B77">
      <w:footerReference w:type="default" r:id="rId16"/>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00D" w:rsidRDefault="0055100D" w:rsidP="00FE11E5">
      <w:pPr>
        <w:spacing w:after="0" w:line="240" w:lineRule="auto"/>
      </w:pPr>
      <w:r>
        <w:separator/>
      </w:r>
    </w:p>
  </w:endnote>
  <w:endnote w:type="continuationSeparator" w:id="0">
    <w:p w:rsidR="0055100D" w:rsidRDefault="0055100D" w:rsidP="00FE11E5">
      <w:pPr>
        <w:spacing w:after="0" w:line="240" w:lineRule="auto"/>
      </w:pPr>
      <w:r>
        <w:continuationSeparator/>
      </w:r>
    </w:p>
  </w:endnote>
  <w:endnote w:id="1">
    <w:p w:rsidR="0055100D" w:rsidRDefault="0055100D" w:rsidP="0017072A">
      <w:pPr>
        <w:pStyle w:val="EndnoteText"/>
      </w:pPr>
      <w:r>
        <w:rPr>
          <w:rStyle w:val="EndnoteReference"/>
        </w:rPr>
        <w:endnoteRef/>
      </w:r>
      <w:r>
        <w:t xml:space="preserve"> Gregg EW, </w:t>
      </w:r>
      <w:proofErr w:type="spellStart"/>
      <w:r>
        <w:t>Zhuo</w:t>
      </w:r>
      <w:proofErr w:type="spellEnd"/>
      <w:r>
        <w:t xml:space="preserve"> X, Cheng YJ, Albright AL, Narayan KM, &amp; Thompson TJ. (2014). Trends in lifetime risk and years of life lost due to diabetes in the USA, 1985-2011: a modeling study.  </w:t>
      </w:r>
      <w:r w:rsidRPr="0017072A">
        <w:rPr>
          <w:i/>
        </w:rPr>
        <w:t>The Lancet Diabetes &amp; Endocrinology,</w:t>
      </w:r>
      <w:r>
        <w:t xml:space="preserve"> 2(11), 867-874</w:t>
      </w:r>
    </w:p>
  </w:endnote>
  <w:endnote w:id="2">
    <w:p w:rsidR="0055100D" w:rsidRDefault="0055100D">
      <w:pPr>
        <w:pStyle w:val="EndnoteText"/>
      </w:pPr>
      <w:r>
        <w:rPr>
          <w:rStyle w:val="EndnoteReference"/>
        </w:rPr>
        <w:endnoteRef/>
      </w:r>
      <w:r>
        <w:t xml:space="preserve"> Centers for Disease Control and Prevention (CDC) (2015, December 1). </w:t>
      </w:r>
      <w:proofErr w:type="gramStart"/>
      <w:r>
        <w:t>Diabetes public health resource.</w:t>
      </w:r>
      <w:proofErr w:type="gramEnd"/>
      <w:r>
        <w:t xml:space="preserve">  Retrieved May 23, 2016, from</w:t>
      </w:r>
      <w:r w:rsidR="00126D75" w:rsidRPr="00126D75">
        <w:t xml:space="preserve"> http://www.cdc.gov/diabetes/statistics/incidence/</w:t>
      </w:r>
      <w:proofErr w:type="gramStart"/>
      <w:r w:rsidR="00126D75" w:rsidRPr="00126D75">
        <w:t>fig2.htm</w:t>
      </w:r>
      <w:r w:rsidR="00126D75">
        <w:t xml:space="preserve"> </w:t>
      </w:r>
      <w:r>
        <w:t>.</w:t>
      </w:r>
      <w:proofErr w:type="gramEnd"/>
    </w:p>
  </w:endnote>
  <w:endnote w:id="3">
    <w:p w:rsidR="0055100D" w:rsidRDefault="0055100D">
      <w:pPr>
        <w:pStyle w:val="EndnoteText"/>
      </w:pPr>
      <w:r>
        <w:rPr>
          <w:rStyle w:val="EndnoteReference"/>
        </w:rPr>
        <w:endnoteRef/>
      </w:r>
      <w:r>
        <w:t xml:space="preserve"> Centers for Disease Control and Prevention (CDC), (2015, December 1). </w:t>
      </w:r>
      <w:proofErr w:type="gramStart"/>
      <w:r>
        <w:t>Diabetes public health resource.</w:t>
      </w:r>
      <w:proofErr w:type="gramEnd"/>
      <w:r>
        <w:t xml:space="preserve"> Retrieved May 23, 2016 from </w:t>
      </w:r>
      <w:r w:rsidRPr="001765EF">
        <w:t>http://www.cdc.gov/diabetes/statistics/incidence/fig6.htm</w:t>
      </w:r>
    </w:p>
  </w:endnote>
  <w:endnote w:id="4">
    <w:p w:rsidR="0055100D" w:rsidRDefault="0055100D">
      <w:pPr>
        <w:pStyle w:val="EndnoteText"/>
      </w:pPr>
      <w:r>
        <w:rPr>
          <w:rStyle w:val="EndnoteReference"/>
        </w:rPr>
        <w:endnoteRef/>
      </w:r>
      <w:r>
        <w:t xml:space="preserve"> </w:t>
      </w:r>
      <w:proofErr w:type="gramStart"/>
      <w:r>
        <w:t>Centers for Disease Control and Prevention (CDC).</w:t>
      </w:r>
      <w:proofErr w:type="gramEnd"/>
      <w:r>
        <w:t xml:space="preserve"> (2012, November 16). </w:t>
      </w:r>
      <w:proofErr w:type="gramStart"/>
      <w:r>
        <w:t>Increasing prevalence of diagnosed diabetes – United States and Puerto Rico, 1995-2010.</w:t>
      </w:r>
      <w:proofErr w:type="gramEnd"/>
      <w:r>
        <w:t xml:space="preserve"> </w:t>
      </w:r>
      <w:proofErr w:type="gramStart"/>
      <w:r>
        <w:t>MMWR.</w:t>
      </w:r>
      <w:proofErr w:type="gramEnd"/>
      <w:r>
        <w:t xml:space="preserve"> </w:t>
      </w:r>
      <w:proofErr w:type="gramStart"/>
      <w:r>
        <w:t>Morbidity and Mortality Weekly Reports.</w:t>
      </w:r>
      <w:proofErr w:type="gramEnd"/>
      <w:r>
        <w:t xml:space="preserve"> Retrieved from  </w:t>
      </w:r>
      <w:r w:rsidRPr="00945FD8">
        <w:t>http://www.cdc.gov/mmwr/preview/mmwrhtml/mm6145a4.htm</w:t>
      </w:r>
    </w:p>
  </w:endnote>
  <w:endnote w:id="5">
    <w:p w:rsidR="0055100D" w:rsidRDefault="0055100D" w:rsidP="00DE7F26">
      <w:pPr>
        <w:pStyle w:val="EndnoteText"/>
      </w:pPr>
      <w:r>
        <w:rPr>
          <w:rStyle w:val="EndnoteReference"/>
        </w:rPr>
        <w:endnoteRef/>
      </w:r>
      <w:r>
        <w:t xml:space="preserve"> Nationally, 12 percent of all admissions have been attributed to Ambulatory Care Sensitive (ACS), including uncontrolled diabetes, pneumonia, congestive heart failure, and asthma. Ambulatory care sensitive (ACS) conditions are conditions for which hospitalizations may be prevented by appropriate access to primary care. [Pappas G, </w:t>
      </w:r>
      <w:proofErr w:type="spellStart"/>
      <w:r>
        <w:t>Hadden</w:t>
      </w:r>
      <w:proofErr w:type="spellEnd"/>
      <w:r>
        <w:t xml:space="preserve"> WC, </w:t>
      </w:r>
      <w:proofErr w:type="spellStart"/>
      <w:r>
        <w:t>Kozak</w:t>
      </w:r>
      <w:proofErr w:type="spellEnd"/>
      <w:r>
        <w:t xml:space="preserve"> LJ</w:t>
      </w:r>
      <w:proofErr w:type="gramStart"/>
      <w:r>
        <w:t>,  Fisher</w:t>
      </w:r>
      <w:proofErr w:type="gramEnd"/>
      <w:r>
        <w:t xml:space="preserve"> GF. Potentially avoidable hospitalizations: inequalities in rates between U.S. socioeconomic groups. </w:t>
      </w:r>
      <w:r>
        <w:rPr>
          <w:szCs w:val="18"/>
        </w:rPr>
        <w:t>Am J Public Health, 1997; 87(5): 811–816.</w:t>
      </w:r>
      <w:r>
        <w:t xml:space="preserve"> ]</w:t>
      </w:r>
    </w:p>
  </w:endnote>
  <w:endnote w:id="6">
    <w:p w:rsidR="0055100D" w:rsidRDefault="0055100D" w:rsidP="00DE7F26">
      <w:pPr>
        <w:pStyle w:val="EndnoteText"/>
      </w:pPr>
      <w:r>
        <w:rPr>
          <w:rStyle w:val="EndnoteReference"/>
        </w:rPr>
        <w:endnoteRef/>
      </w:r>
      <w:r>
        <w:t xml:space="preserve"> Diabetes-related hospitalizations are any which include diabetes in the discharge diagnoses fields. Hospital discharge data does not distinguish between patients with and without diabetes. These rates are not restricted to only patients with diabetes.</w:t>
      </w:r>
    </w:p>
  </w:endnote>
  <w:endnote w:id="7">
    <w:p w:rsidR="0055100D" w:rsidRDefault="0055100D">
      <w:pPr>
        <w:pStyle w:val="EndnoteText"/>
      </w:pPr>
      <w:r>
        <w:rPr>
          <w:rStyle w:val="EndnoteReference"/>
        </w:rPr>
        <w:endnoteRef/>
      </w:r>
      <w:r>
        <w:t xml:space="preserve"> </w:t>
      </w:r>
      <w:proofErr w:type="gramStart"/>
      <w:r>
        <w:t>National Center for Health Statistics (NCHS).</w:t>
      </w:r>
      <w:proofErr w:type="gramEnd"/>
      <w:r>
        <w:t xml:space="preserve"> </w:t>
      </w:r>
      <w:proofErr w:type="gramStart"/>
      <w:r>
        <w:t>(2015). National hospital discharge survey.</w:t>
      </w:r>
      <w:proofErr w:type="gramEnd"/>
      <w:r>
        <w:t xml:space="preserve">  </w:t>
      </w:r>
      <w:proofErr w:type="gramStart"/>
      <w:r>
        <w:t xml:space="preserve">Retrieved from </w:t>
      </w:r>
      <w:r w:rsidRPr="0067397B">
        <w:t>http://www.cdc.gov/nchs/data/nhds/2average/2010ave2_firstlist.pdf</w:t>
      </w:r>
      <w:r>
        <w:t>.</w:t>
      </w:r>
      <w:proofErr w:type="gramEnd"/>
    </w:p>
  </w:endnote>
  <w:endnote w:id="8">
    <w:p w:rsidR="0055100D" w:rsidRDefault="0055100D">
      <w:pPr>
        <w:pStyle w:val="EndnoteText"/>
      </w:pPr>
      <w:r>
        <w:rPr>
          <w:rStyle w:val="EndnoteReference"/>
        </w:rPr>
        <w:endnoteRef/>
      </w:r>
      <w:r>
        <w:t xml:space="preserve"> </w:t>
      </w:r>
      <w:proofErr w:type="gramStart"/>
      <w:r>
        <w:t xml:space="preserve">Jiang HJ, Andrews R, </w:t>
      </w:r>
      <w:proofErr w:type="spellStart"/>
      <w:r>
        <w:t>Stryer</w:t>
      </w:r>
      <w:proofErr w:type="spellEnd"/>
      <w:r>
        <w:t>, D, and Friedman B, 2005.</w:t>
      </w:r>
      <w:proofErr w:type="gramEnd"/>
      <w:r>
        <w:t xml:space="preserve"> Racial/ethnic disparities in potentially preventable readmissions: The case of diabetes. </w:t>
      </w:r>
      <w:r w:rsidRPr="0067397B">
        <w:rPr>
          <w:i/>
        </w:rPr>
        <w:t>American Journal of Public Health, 95(9)</w:t>
      </w:r>
      <w:r>
        <w:t>, 1561-1567.</w:t>
      </w:r>
    </w:p>
  </w:endnote>
  <w:endnote w:id="9">
    <w:p w:rsidR="0055100D" w:rsidRDefault="0055100D">
      <w:pPr>
        <w:pStyle w:val="EndnoteText"/>
      </w:pPr>
      <w:r>
        <w:rPr>
          <w:rStyle w:val="EndnoteReference"/>
        </w:rPr>
        <w:endnoteRef/>
      </w:r>
      <w:r>
        <w:t xml:space="preserve"> </w:t>
      </w:r>
      <w:proofErr w:type="gramStart"/>
      <w:r>
        <w:t>American Diabetes Association.</w:t>
      </w:r>
      <w:proofErr w:type="gramEnd"/>
      <w:r>
        <w:t xml:space="preserve"> </w:t>
      </w:r>
      <w:proofErr w:type="gramStart"/>
      <w:r>
        <w:t>(2016). Statistics about diabetes.</w:t>
      </w:r>
      <w:proofErr w:type="gramEnd"/>
      <w:r>
        <w:t xml:space="preserve">  </w:t>
      </w:r>
      <w:proofErr w:type="gramStart"/>
      <w:r>
        <w:t xml:space="preserve">Retrieved from </w:t>
      </w:r>
      <w:r w:rsidRPr="006D7F18">
        <w:t>http://www.diabetes.org/diabetes-basics/statistics/</w:t>
      </w:r>
      <w:r>
        <w:t>.</w:t>
      </w:r>
      <w:proofErr w:type="gramEnd"/>
    </w:p>
  </w:endnote>
  <w:endnote w:id="10">
    <w:p w:rsidR="00F32253" w:rsidRDefault="00F32253">
      <w:pPr>
        <w:pStyle w:val="EndnoteText"/>
      </w:pPr>
      <w:r>
        <w:rPr>
          <w:rStyle w:val="EndnoteReference"/>
        </w:rPr>
        <w:endnoteRef/>
      </w:r>
      <w:r>
        <w:t xml:space="preserve"> Xu JQ, Murphy SL, </w:t>
      </w:r>
      <w:proofErr w:type="spellStart"/>
      <w:r>
        <w:t>Kochanek</w:t>
      </w:r>
      <w:proofErr w:type="spellEnd"/>
      <w:r>
        <w:t xml:space="preserve"> KD, Bastian BA, 2016.  Deaths: Final data for 2013. National vital statistics reports, 64(2). </w:t>
      </w:r>
    </w:p>
  </w:endnote>
  <w:endnote w:id="11">
    <w:p w:rsidR="00F32253" w:rsidRDefault="00F32253">
      <w:pPr>
        <w:pStyle w:val="EndnoteText"/>
      </w:pPr>
      <w:r>
        <w:rPr>
          <w:rStyle w:val="EndnoteReference"/>
        </w:rPr>
        <w:endnoteRef/>
      </w:r>
      <w:r>
        <w:t xml:space="preserve"> </w:t>
      </w:r>
      <w:proofErr w:type="gramStart"/>
      <w:r>
        <w:t>Centers for Disease Control and Prevention (CDC).</w:t>
      </w:r>
      <w:proofErr w:type="gramEnd"/>
      <w:r>
        <w:t xml:space="preserve"> (2014). National diabetes statistics report: Estimates of diabetes and its burden in the United States, 2014. </w:t>
      </w:r>
      <w:proofErr w:type="gramStart"/>
      <w:r>
        <w:t xml:space="preserve">Retrieved from </w:t>
      </w:r>
      <w:r w:rsidRPr="00F32253">
        <w:t>http://www.cdc.gov/diabetes/pubs/statsreport14/national-diabetes-report-web.pdf</w:t>
      </w:r>
      <w:r>
        <w:t>.</w:t>
      </w:r>
      <w:proofErr w:type="gramEnd"/>
    </w:p>
  </w:endnote>
  <w:endnote w:id="12">
    <w:p w:rsidR="00E27D50" w:rsidRDefault="00E27D50">
      <w:pPr>
        <w:pStyle w:val="EndnoteText"/>
      </w:pPr>
      <w:r>
        <w:rPr>
          <w:rStyle w:val="EndnoteReference"/>
        </w:rPr>
        <w:endnoteRef/>
      </w:r>
      <w:r>
        <w:t xml:space="preserve"> </w:t>
      </w:r>
      <w:proofErr w:type="gramStart"/>
      <w:r>
        <w:t>National Association of County and City Health Officials, 2007.</w:t>
      </w:r>
      <w:proofErr w:type="gramEnd"/>
      <w:r>
        <w:t xml:space="preserve"> Big cities health inventory: The health of urban America, 2007. Table </w:t>
      </w:r>
      <w:r w:rsidR="005D7F6A">
        <w:t>3.19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BKDL L+ Helvetica">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51526"/>
      <w:docPartObj>
        <w:docPartGallery w:val="Page Numbers (Bottom of Page)"/>
        <w:docPartUnique/>
      </w:docPartObj>
    </w:sdtPr>
    <w:sdtEndPr>
      <w:rPr>
        <w:noProof/>
      </w:rPr>
    </w:sdtEndPr>
    <w:sdtContent>
      <w:p w:rsidR="00937B77" w:rsidRPr="00902F89" w:rsidRDefault="00937B77">
        <w:pPr>
          <w:pStyle w:val="Footer"/>
          <w:jc w:val="right"/>
        </w:pPr>
        <w:r w:rsidRPr="00902F89">
          <w:fldChar w:fldCharType="begin"/>
        </w:r>
        <w:r w:rsidRPr="00902F89">
          <w:instrText xml:space="preserve"> PAGE   \* MERGEFORMAT </w:instrText>
        </w:r>
        <w:r w:rsidRPr="00902F89">
          <w:fldChar w:fldCharType="separate"/>
        </w:r>
        <w:r w:rsidR="00902F89">
          <w:rPr>
            <w:noProof/>
          </w:rPr>
          <w:t>1</w:t>
        </w:r>
        <w:r w:rsidRPr="00902F89">
          <w:rPr>
            <w:noProof/>
          </w:rPr>
          <w:fldChar w:fldCharType="end"/>
        </w:r>
      </w:p>
    </w:sdtContent>
  </w:sdt>
  <w:p w:rsidR="00937B77" w:rsidRDefault="00937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00D" w:rsidRDefault="0055100D" w:rsidP="00FE11E5">
      <w:pPr>
        <w:spacing w:after="0" w:line="240" w:lineRule="auto"/>
      </w:pPr>
      <w:r>
        <w:separator/>
      </w:r>
    </w:p>
  </w:footnote>
  <w:footnote w:type="continuationSeparator" w:id="0">
    <w:p w:rsidR="0055100D" w:rsidRDefault="0055100D" w:rsidP="00FE1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B2A52"/>
    <w:multiLevelType w:val="hybridMultilevel"/>
    <w:tmpl w:val="47005210"/>
    <w:lvl w:ilvl="0" w:tplc="BD34EFC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6552EB"/>
    <w:multiLevelType w:val="hybridMultilevel"/>
    <w:tmpl w:val="7388958A"/>
    <w:lvl w:ilvl="0" w:tplc="C270CA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B527AF"/>
    <w:multiLevelType w:val="hybridMultilevel"/>
    <w:tmpl w:val="725A68BC"/>
    <w:lvl w:ilvl="0" w:tplc="8B40C0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B5"/>
    <w:rsid w:val="00021441"/>
    <w:rsid w:val="000473F0"/>
    <w:rsid w:val="000549AF"/>
    <w:rsid w:val="000845BF"/>
    <w:rsid w:val="000B2D34"/>
    <w:rsid w:val="000B7E4D"/>
    <w:rsid w:val="000C3138"/>
    <w:rsid w:val="00125530"/>
    <w:rsid w:val="00126D75"/>
    <w:rsid w:val="00136EB1"/>
    <w:rsid w:val="0017072A"/>
    <w:rsid w:val="001765EF"/>
    <w:rsid w:val="001B7FAE"/>
    <w:rsid w:val="001F4217"/>
    <w:rsid w:val="00233001"/>
    <w:rsid w:val="00236FD7"/>
    <w:rsid w:val="00241026"/>
    <w:rsid w:val="002573FF"/>
    <w:rsid w:val="002C763C"/>
    <w:rsid w:val="002C7816"/>
    <w:rsid w:val="003466E8"/>
    <w:rsid w:val="0038270D"/>
    <w:rsid w:val="00384C83"/>
    <w:rsid w:val="003963F1"/>
    <w:rsid w:val="003A771E"/>
    <w:rsid w:val="003C6E05"/>
    <w:rsid w:val="003E74E6"/>
    <w:rsid w:val="003F677F"/>
    <w:rsid w:val="00413C61"/>
    <w:rsid w:val="00417802"/>
    <w:rsid w:val="004567CF"/>
    <w:rsid w:val="00476B2C"/>
    <w:rsid w:val="0049442D"/>
    <w:rsid w:val="004D223B"/>
    <w:rsid w:val="004D79E6"/>
    <w:rsid w:val="004D7D63"/>
    <w:rsid w:val="004F49F0"/>
    <w:rsid w:val="005051F0"/>
    <w:rsid w:val="00534BD5"/>
    <w:rsid w:val="0055100D"/>
    <w:rsid w:val="00592BA4"/>
    <w:rsid w:val="00596B29"/>
    <w:rsid w:val="005D082F"/>
    <w:rsid w:val="005D1701"/>
    <w:rsid w:val="005D7F6A"/>
    <w:rsid w:val="0060021D"/>
    <w:rsid w:val="00651160"/>
    <w:rsid w:val="00662406"/>
    <w:rsid w:val="0067397B"/>
    <w:rsid w:val="00685651"/>
    <w:rsid w:val="00686E42"/>
    <w:rsid w:val="0068774C"/>
    <w:rsid w:val="00691E56"/>
    <w:rsid w:val="006A40D6"/>
    <w:rsid w:val="006B35D8"/>
    <w:rsid w:val="006C55C6"/>
    <w:rsid w:val="006C6B35"/>
    <w:rsid w:val="006D7F18"/>
    <w:rsid w:val="006E4BCC"/>
    <w:rsid w:val="006F0DB7"/>
    <w:rsid w:val="006F6D4E"/>
    <w:rsid w:val="007128C9"/>
    <w:rsid w:val="00716723"/>
    <w:rsid w:val="007272DE"/>
    <w:rsid w:val="0073174A"/>
    <w:rsid w:val="00743628"/>
    <w:rsid w:val="007C52CA"/>
    <w:rsid w:val="007D19DA"/>
    <w:rsid w:val="007D1D51"/>
    <w:rsid w:val="007F450C"/>
    <w:rsid w:val="008121B6"/>
    <w:rsid w:val="00837685"/>
    <w:rsid w:val="008412BA"/>
    <w:rsid w:val="0085190B"/>
    <w:rsid w:val="00856000"/>
    <w:rsid w:val="00875BA4"/>
    <w:rsid w:val="008844D2"/>
    <w:rsid w:val="008B5239"/>
    <w:rsid w:val="00902F89"/>
    <w:rsid w:val="00937B77"/>
    <w:rsid w:val="00945FD8"/>
    <w:rsid w:val="0095585E"/>
    <w:rsid w:val="009A18F2"/>
    <w:rsid w:val="009C637F"/>
    <w:rsid w:val="009F4210"/>
    <w:rsid w:val="00A10FBB"/>
    <w:rsid w:val="00A140AD"/>
    <w:rsid w:val="00A40D94"/>
    <w:rsid w:val="00A4755C"/>
    <w:rsid w:val="00A57B5A"/>
    <w:rsid w:val="00A724E8"/>
    <w:rsid w:val="00A7393A"/>
    <w:rsid w:val="00AC1757"/>
    <w:rsid w:val="00AC1BEA"/>
    <w:rsid w:val="00AD500B"/>
    <w:rsid w:val="00B32510"/>
    <w:rsid w:val="00B3257A"/>
    <w:rsid w:val="00B57672"/>
    <w:rsid w:val="00B73C20"/>
    <w:rsid w:val="00B76060"/>
    <w:rsid w:val="00B86382"/>
    <w:rsid w:val="00B95A35"/>
    <w:rsid w:val="00BA60A7"/>
    <w:rsid w:val="00BB334E"/>
    <w:rsid w:val="00BB61C9"/>
    <w:rsid w:val="00BC538E"/>
    <w:rsid w:val="00BC57A0"/>
    <w:rsid w:val="00BE7D52"/>
    <w:rsid w:val="00C022E7"/>
    <w:rsid w:val="00C206E5"/>
    <w:rsid w:val="00C33445"/>
    <w:rsid w:val="00C339A0"/>
    <w:rsid w:val="00C435D6"/>
    <w:rsid w:val="00C6226D"/>
    <w:rsid w:val="00C734B3"/>
    <w:rsid w:val="00C773BB"/>
    <w:rsid w:val="00C952DE"/>
    <w:rsid w:val="00CE4F16"/>
    <w:rsid w:val="00CE78BA"/>
    <w:rsid w:val="00CF22FF"/>
    <w:rsid w:val="00D0037F"/>
    <w:rsid w:val="00D02693"/>
    <w:rsid w:val="00D17975"/>
    <w:rsid w:val="00D36692"/>
    <w:rsid w:val="00D5636E"/>
    <w:rsid w:val="00D710B2"/>
    <w:rsid w:val="00DB5939"/>
    <w:rsid w:val="00DE5178"/>
    <w:rsid w:val="00DE7F26"/>
    <w:rsid w:val="00E00669"/>
    <w:rsid w:val="00E2595E"/>
    <w:rsid w:val="00E263CA"/>
    <w:rsid w:val="00E27D50"/>
    <w:rsid w:val="00E428F8"/>
    <w:rsid w:val="00E654EE"/>
    <w:rsid w:val="00E85EF4"/>
    <w:rsid w:val="00E90200"/>
    <w:rsid w:val="00EA3F27"/>
    <w:rsid w:val="00F02752"/>
    <w:rsid w:val="00F117FD"/>
    <w:rsid w:val="00F1448B"/>
    <w:rsid w:val="00F17D81"/>
    <w:rsid w:val="00F32253"/>
    <w:rsid w:val="00F64AB5"/>
    <w:rsid w:val="00F82DFD"/>
    <w:rsid w:val="00F8428C"/>
    <w:rsid w:val="00FC4AB9"/>
    <w:rsid w:val="00FE11E5"/>
    <w:rsid w:val="00FF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1F4217"/>
    <w:pPr>
      <w:keepNext/>
      <w:spacing w:before="240" w:after="60" w:line="240" w:lineRule="auto"/>
      <w:outlineLvl w:val="1"/>
    </w:pPr>
    <w:rPr>
      <w:rFonts w:ascii="Arial" w:eastAsia="Arial Unicode MS" w:hAnsi="Arial" w:cs="Arial"/>
      <w:b/>
      <w:bCs/>
      <w:i/>
      <w:iCs/>
      <w:sz w:val="28"/>
      <w:szCs w:val="28"/>
    </w:rPr>
  </w:style>
  <w:style w:type="paragraph" w:styleId="Heading3">
    <w:name w:val="heading 3"/>
    <w:basedOn w:val="Normal"/>
    <w:link w:val="Heading3Char"/>
    <w:qFormat/>
    <w:rsid w:val="001F4217"/>
    <w:pPr>
      <w:keepNext/>
      <w:spacing w:before="240" w:after="60" w:line="240" w:lineRule="auto"/>
      <w:outlineLvl w:val="2"/>
    </w:pPr>
    <w:rPr>
      <w:rFonts w:ascii="Arial" w:eastAsia="Arial Unicode MS"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AB5"/>
    <w:rPr>
      <w:rFonts w:ascii="Tahoma" w:hAnsi="Tahoma" w:cs="Tahoma"/>
      <w:sz w:val="16"/>
      <w:szCs w:val="16"/>
    </w:rPr>
  </w:style>
  <w:style w:type="paragraph" w:styleId="NoSpacing">
    <w:name w:val="No Spacing"/>
    <w:link w:val="NoSpacingChar"/>
    <w:uiPriority w:val="1"/>
    <w:qFormat/>
    <w:rsid w:val="001F421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F4217"/>
    <w:rPr>
      <w:rFonts w:eastAsiaTheme="minorEastAsia"/>
      <w:lang w:eastAsia="ja-JP"/>
    </w:rPr>
  </w:style>
  <w:style w:type="character" w:customStyle="1" w:styleId="Heading2Char">
    <w:name w:val="Heading 2 Char"/>
    <w:basedOn w:val="DefaultParagraphFont"/>
    <w:link w:val="Heading2"/>
    <w:rsid w:val="001F4217"/>
    <w:rPr>
      <w:rFonts w:ascii="Arial" w:eastAsia="Arial Unicode MS" w:hAnsi="Arial" w:cs="Arial"/>
      <w:b/>
      <w:bCs/>
      <w:i/>
      <w:iCs/>
      <w:sz w:val="28"/>
      <w:szCs w:val="28"/>
    </w:rPr>
  </w:style>
  <w:style w:type="character" w:customStyle="1" w:styleId="Heading3Char">
    <w:name w:val="Heading 3 Char"/>
    <w:basedOn w:val="DefaultParagraphFont"/>
    <w:link w:val="Heading3"/>
    <w:rsid w:val="001F4217"/>
    <w:rPr>
      <w:rFonts w:ascii="Arial" w:eastAsia="Arial Unicode MS" w:hAnsi="Arial" w:cs="Arial"/>
      <w:b/>
      <w:bCs/>
      <w:sz w:val="26"/>
      <w:szCs w:val="26"/>
    </w:rPr>
  </w:style>
  <w:style w:type="paragraph" w:styleId="BodyText">
    <w:name w:val="Body Text"/>
    <w:basedOn w:val="Normal"/>
    <w:link w:val="BodyTextChar"/>
    <w:semiHidden/>
    <w:rsid w:val="001F4217"/>
    <w:pPr>
      <w:spacing w:after="120" w:line="240" w:lineRule="auto"/>
    </w:pPr>
    <w:rPr>
      <w:rFonts w:ascii="Times New Roman" w:eastAsia="Arial Unicode MS" w:hAnsi="Times New Roman" w:cs="Times New Roman"/>
      <w:sz w:val="24"/>
      <w:szCs w:val="24"/>
    </w:rPr>
  </w:style>
  <w:style w:type="character" w:customStyle="1" w:styleId="BodyTextChar">
    <w:name w:val="Body Text Char"/>
    <w:basedOn w:val="DefaultParagraphFont"/>
    <w:link w:val="BodyText"/>
    <w:semiHidden/>
    <w:rsid w:val="001F4217"/>
    <w:rPr>
      <w:rFonts w:ascii="Times New Roman" w:eastAsia="Arial Unicode MS" w:hAnsi="Times New Roman" w:cs="Times New Roman"/>
      <w:sz w:val="24"/>
      <w:szCs w:val="24"/>
    </w:rPr>
  </w:style>
  <w:style w:type="character" w:styleId="Hyperlink">
    <w:name w:val="Hyperlink"/>
    <w:semiHidden/>
    <w:rsid w:val="00FE11E5"/>
    <w:rPr>
      <w:color w:val="0000FF"/>
      <w:u w:val="single"/>
    </w:rPr>
  </w:style>
  <w:style w:type="paragraph" w:styleId="EndnoteText">
    <w:name w:val="endnote text"/>
    <w:basedOn w:val="Normal"/>
    <w:link w:val="EndnoteTextChar"/>
    <w:semiHidden/>
    <w:rsid w:val="00FE11E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FE11E5"/>
    <w:rPr>
      <w:rFonts w:ascii="Times New Roman" w:eastAsia="Times New Roman" w:hAnsi="Times New Roman" w:cs="Times New Roman"/>
      <w:sz w:val="20"/>
      <w:szCs w:val="20"/>
    </w:rPr>
  </w:style>
  <w:style w:type="character" w:styleId="EndnoteReference">
    <w:name w:val="endnote reference"/>
    <w:semiHidden/>
    <w:rsid w:val="00FE11E5"/>
    <w:rPr>
      <w:vertAlign w:val="superscript"/>
    </w:rPr>
  </w:style>
  <w:style w:type="paragraph" w:styleId="Caption">
    <w:name w:val="caption"/>
    <w:basedOn w:val="Normal"/>
    <w:next w:val="Normal"/>
    <w:uiPriority w:val="35"/>
    <w:unhideWhenUsed/>
    <w:qFormat/>
    <w:rsid w:val="00F02752"/>
    <w:pPr>
      <w:spacing w:line="240" w:lineRule="auto"/>
    </w:pPr>
    <w:rPr>
      <w:b/>
      <w:bCs/>
      <w:color w:val="4F81BD" w:themeColor="accent1"/>
      <w:sz w:val="18"/>
      <w:szCs w:val="18"/>
    </w:rPr>
  </w:style>
  <w:style w:type="table" w:styleId="TableGrid">
    <w:name w:val="Table Grid"/>
    <w:basedOn w:val="TableNormal"/>
    <w:uiPriority w:val="59"/>
    <w:rsid w:val="001B7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B7FA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C734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4B3"/>
    <w:rPr>
      <w:sz w:val="20"/>
      <w:szCs w:val="20"/>
    </w:rPr>
  </w:style>
  <w:style w:type="character" w:styleId="FootnoteReference">
    <w:name w:val="footnote reference"/>
    <w:basedOn w:val="DefaultParagraphFont"/>
    <w:uiPriority w:val="99"/>
    <w:semiHidden/>
    <w:unhideWhenUsed/>
    <w:rsid w:val="00C734B3"/>
    <w:rPr>
      <w:vertAlign w:val="superscript"/>
    </w:rPr>
  </w:style>
  <w:style w:type="paragraph" w:styleId="Bibliography">
    <w:name w:val="Bibliography"/>
    <w:basedOn w:val="Normal"/>
    <w:next w:val="Normal"/>
    <w:uiPriority w:val="37"/>
    <w:semiHidden/>
    <w:unhideWhenUsed/>
    <w:rsid w:val="00C734B3"/>
  </w:style>
  <w:style w:type="paragraph" w:styleId="Header">
    <w:name w:val="header"/>
    <w:basedOn w:val="Normal"/>
    <w:link w:val="HeaderChar"/>
    <w:uiPriority w:val="99"/>
    <w:unhideWhenUsed/>
    <w:rsid w:val="00A10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FBB"/>
  </w:style>
  <w:style w:type="paragraph" w:styleId="Footer">
    <w:name w:val="footer"/>
    <w:basedOn w:val="Normal"/>
    <w:link w:val="FooterChar"/>
    <w:uiPriority w:val="99"/>
    <w:unhideWhenUsed/>
    <w:rsid w:val="00A10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1F4217"/>
    <w:pPr>
      <w:keepNext/>
      <w:spacing w:before="240" w:after="60" w:line="240" w:lineRule="auto"/>
      <w:outlineLvl w:val="1"/>
    </w:pPr>
    <w:rPr>
      <w:rFonts w:ascii="Arial" w:eastAsia="Arial Unicode MS" w:hAnsi="Arial" w:cs="Arial"/>
      <w:b/>
      <w:bCs/>
      <w:i/>
      <w:iCs/>
      <w:sz w:val="28"/>
      <w:szCs w:val="28"/>
    </w:rPr>
  </w:style>
  <w:style w:type="paragraph" w:styleId="Heading3">
    <w:name w:val="heading 3"/>
    <w:basedOn w:val="Normal"/>
    <w:link w:val="Heading3Char"/>
    <w:qFormat/>
    <w:rsid w:val="001F4217"/>
    <w:pPr>
      <w:keepNext/>
      <w:spacing w:before="240" w:after="60" w:line="240" w:lineRule="auto"/>
      <w:outlineLvl w:val="2"/>
    </w:pPr>
    <w:rPr>
      <w:rFonts w:ascii="Arial" w:eastAsia="Arial Unicode MS"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AB5"/>
    <w:rPr>
      <w:rFonts w:ascii="Tahoma" w:hAnsi="Tahoma" w:cs="Tahoma"/>
      <w:sz w:val="16"/>
      <w:szCs w:val="16"/>
    </w:rPr>
  </w:style>
  <w:style w:type="paragraph" w:styleId="NoSpacing">
    <w:name w:val="No Spacing"/>
    <w:link w:val="NoSpacingChar"/>
    <w:uiPriority w:val="1"/>
    <w:qFormat/>
    <w:rsid w:val="001F421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F4217"/>
    <w:rPr>
      <w:rFonts w:eastAsiaTheme="minorEastAsia"/>
      <w:lang w:eastAsia="ja-JP"/>
    </w:rPr>
  </w:style>
  <w:style w:type="character" w:customStyle="1" w:styleId="Heading2Char">
    <w:name w:val="Heading 2 Char"/>
    <w:basedOn w:val="DefaultParagraphFont"/>
    <w:link w:val="Heading2"/>
    <w:rsid w:val="001F4217"/>
    <w:rPr>
      <w:rFonts w:ascii="Arial" w:eastAsia="Arial Unicode MS" w:hAnsi="Arial" w:cs="Arial"/>
      <w:b/>
      <w:bCs/>
      <w:i/>
      <w:iCs/>
      <w:sz w:val="28"/>
      <w:szCs w:val="28"/>
    </w:rPr>
  </w:style>
  <w:style w:type="character" w:customStyle="1" w:styleId="Heading3Char">
    <w:name w:val="Heading 3 Char"/>
    <w:basedOn w:val="DefaultParagraphFont"/>
    <w:link w:val="Heading3"/>
    <w:rsid w:val="001F4217"/>
    <w:rPr>
      <w:rFonts w:ascii="Arial" w:eastAsia="Arial Unicode MS" w:hAnsi="Arial" w:cs="Arial"/>
      <w:b/>
      <w:bCs/>
      <w:sz w:val="26"/>
      <w:szCs w:val="26"/>
    </w:rPr>
  </w:style>
  <w:style w:type="paragraph" w:styleId="BodyText">
    <w:name w:val="Body Text"/>
    <w:basedOn w:val="Normal"/>
    <w:link w:val="BodyTextChar"/>
    <w:semiHidden/>
    <w:rsid w:val="001F4217"/>
    <w:pPr>
      <w:spacing w:after="120" w:line="240" w:lineRule="auto"/>
    </w:pPr>
    <w:rPr>
      <w:rFonts w:ascii="Times New Roman" w:eastAsia="Arial Unicode MS" w:hAnsi="Times New Roman" w:cs="Times New Roman"/>
      <w:sz w:val="24"/>
      <w:szCs w:val="24"/>
    </w:rPr>
  </w:style>
  <w:style w:type="character" w:customStyle="1" w:styleId="BodyTextChar">
    <w:name w:val="Body Text Char"/>
    <w:basedOn w:val="DefaultParagraphFont"/>
    <w:link w:val="BodyText"/>
    <w:semiHidden/>
    <w:rsid w:val="001F4217"/>
    <w:rPr>
      <w:rFonts w:ascii="Times New Roman" w:eastAsia="Arial Unicode MS" w:hAnsi="Times New Roman" w:cs="Times New Roman"/>
      <w:sz w:val="24"/>
      <w:szCs w:val="24"/>
    </w:rPr>
  </w:style>
  <w:style w:type="character" w:styleId="Hyperlink">
    <w:name w:val="Hyperlink"/>
    <w:semiHidden/>
    <w:rsid w:val="00FE11E5"/>
    <w:rPr>
      <w:color w:val="0000FF"/>
      <w:u w:val="single"/>
    </w:rPr>
  </w:style>
  <w:style w:type="paragraph" w:styleId="EndnoteText">
    <w:name w:val="endnote text"/>
    <w:basedOn w:val="Normal"/>
    <w:link w:val="EndnoteTextChar"/>
    <w:semiHidden/>
    <w:rsid w:val="00FE11E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FE11E5"/>
    <w:rPr>
      <w:rFonts w:ascii="Times New Roman" w:eastAsia="Times New Roman" w:hAnsi="Times New Roman" w:cs="Times New Roman"/>
      <w:sz w:val="20"/>
      <w:szCs w:val="20"/>
    </w:rPr>
  </w:style>
  <w:style w:type="character" w:styleId="EndnoteReference">
    <w:name w:val="endnote reference"/>
    <w:semiHidden/>
    <w:rsid w:val="00FE11E5"/>
    <w:rPr>
      <w:vertAlign w:val="superscript"/>
    </w:rPr>
  </w:style>
  <w:style w:type="paragraph" w:styleId="Caption">
    <w:name w:val="caption"/>
    <w:basedOn w:val="Normal"/>
    <w:next w:val="Normal"/>
    <w:uiPriority w:val="35"/>
    <w:unhideWhenUsed/>
    <w:qFormat/>
    <w:rsid w:val="00F02752"/>
    <w:pPr>
      <w:spacing w:line="240" w:lineRule="auto"/>
    </w:pPr>
    <w:rPr>
      <w:b/>
      <w:bCs/>
      <w:color w:val="4F81BD" w:themeColor="accent1"/>
      <w:sz w:val="18"/>
      <w:szCs w:val="18"/>
    </w:rPr>
  </w:style>
  <w:style w:type="table" w:styleId="TableGrid">
    <w:name w:val="Table Grid"/>
    <w:basedOn w:val="TableNormal"/>
    <w:uiPriority w:val="59"/>
    <w:rsid w:val="001B7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B7FA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C734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4B3"/>
    <w:rPr>
      <w:sz w:val="20"/>
      <w:szCs w:val="20"/>
    </w:rPr>
  </w:style>
  <w:style w:type="character" w:styleId="FootnoteReference">
    <w:name w:val="footnote reference"/>
    <w:basedOn w:val="DefaultParagraphFont"/>
    <w:uiPriority w:val="99"/>
    <w:semiHidden/>
    <w:unhideWhenUsed/>
    <w:rsid w:val="00C734B3"/>
    <w:rPr>
      <w:vertAlign w:val="superscript"/>
    </w:rPr>
  </w:style>
  <w:style w:type="paragraph" w:styleId="Bibliography">
    <w:name w:val="Bibliography"/>
    <w:basedOn w:val="Normal"/>
    <w:next w:val="Normal"/>
    <w:uiPriority w:val="37"/>
    <w:semiHidden/>
    <w:unhideWhenUsed/>
    <w:rsid w:val="00C734B3"/>
  </w:style>
  <w:style w:type="paragraph" w:styleId="Header">
    <w:name w:val="header"/>
    <w:basedOn w:val="Normal"/>
    <w:link w:val="HeaderChar"/>
    <w:uiPriority w:val="99"/>
    <w:unhideWhenUsed/>
    <w:rsid w:val="00A10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FBB"/>
  </w:style>
  <w:style w:type="paragraph" w:styleId="Footer">
    <w:name w:val="footer"/>
    <w:basedOn w:val="Normal"/>
    <w:link w:val="FooterChar"/>
    <w:uiPriority w:val="99"/>
    <w:unhideWhenUsed/>
    <w:rsid w:val="00A10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9140">
      <w:bodyDiv w:val="1"/>
      <w:marLeft w:val="0"/>
      <w:marRight w:val="0"/>
      <w:marTop w:val="0"/>
      <w:marBottom w:val="0"/>
      <w:divBdr>
        <w:top w:val="none" w:sz="0" w:space="0" w:color="auto"/>
        <w:left w:val="none" w:sz="0" w:space="0" w:color="auto"/>
        <w:bottom w:val="none" w:sz="0" w:space="0" w:color="auto"/>
        <w:right w:val="none" w:sz="0" w:space="0" w:color="auto"/>
      </w:divBdr>
    </w:div>
    <w:div w:id="425462603">
      <w:bodyDiv w:val="1"/>
      <w:marLeft w:val="0"/>
      <w:marRight w:val="0"/>
      <w:marTop w:val="0"/>
      <w:marBottom w:val="0"/>
      <w:divBdr>
        <w:top w:val="none" w:sz="0" w:space="0" w:color="auto"/>
        <w:left w:val="none" w:sz="0" w:space="0" w:color="auto"/>
        <w:bottom w:val="none" w:sz="0" w:space="0" w:color="auto"/>
        <w:right w:val="none" w:sz="0" w:space="0" w:color="auto"/>
      </w:divBdr>
    </w:div>
    <w:div w:id="185213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microsoft.com/office/2007/relationships/stylesWithEffects" Target="stylesWithEffects.xml"/><Relationship Id="rId15" Type="http://schemas.openxmlformats.org/officeDocument/2006/relationships/chart" Target="charts/chart4.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Marion County, Indiana, and US Diabetes Prevalence, BRFSS 1994-2014</a:t>
            </a:r>
          </a:p>
        </c:rich>
      </c:tx>
      <c:layout/>
      <c:overlay val="0"/>
    </c:title>
    <c:autoTitleDeleted val="0"/>
    <c:plotArea>
      <c:layout/>
      <c:lineChart>
        <c:grouping val="standard"/>
        <c:varyColors val="0"/>
        <c:ser>
          <c:idx val="0"/>
          <c:order val="0"/>
          <c:tx>
            <c:strRef>
              <c:f>Sheet1!$B$1</c:f>
              <c:strCache>
                <c:ptCount val="1"/>
                <c:pt idx="0">
                  <c:v>Marion Co</c:v>
                </c:pt>
              </c:strCache>
            </c:strRef>
          </c:tx>
          <c:cat>
            <c:numRef>
              <c:f>Sheet1!$A$2:$A$22</c:f>
              <c:numCache>
                <c:formatCode>General</c:formatCode>
                <c:ptCount val="21"/>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numCache>
            </c:numRef>
          </c:cat>
          <c:val>
            <c:numRef>
              <c:f>Sheet1!$B$2:$B$22</c:f>
              <c:numCache>
                <c:formatCode>General</c:formatCode>
                <c:ptCount val="21"/>
                <c:pt idx="9">
                  <c:v>8.6</c:v>
                </c:pt>
                <c:pt idx="10">
                  <c:v>7.8</c:v>
                </c:pt>
                <c:pt idx="11">
                  <c:v>8.3000000000000007</c:v>
                </c:pt>
                <c:pt idx="12">
                  <c:v>8.5</c:v>
                </c:pt>
                <c:pt idx="13">
                  <c:v>8.6</c:v>
                </c:pt>
                <c:pt idx="14">
                  <c:v>10</c:v>
                </c:pt>
                <c:pt idx="15">
                  <c:v>10</c:v>
                </c:pt>
                <c:pt idx="16">
                  <c:v>11.2</c:v>
                </c:pt>
                <c:pt idx="17">
                  <c:v>10.199999999999999</c:v>
                </c:pt>
                <c:pt idx="18">
                  <c:v>11.1</c:v>
                </c:pt>
                <c:pt idx="19">
                  <c:v>10.6</c:v>
                </c:pt>
                <c:pt idx="20">
                  <c:v>9.8000000000000007</c:v>
                </c:pt>
              </c:numCache>
            </c:numRef>
          </c:val>
          <c:smooth val="0"/>
        </c:ser>
        <c:ser>
          <c:idx val="1"/>
          <c:order val="1"/>
          <c:tx>
            <c:strRef>
              <c:f>Sheet1!$C$1</c:f>
              <c:strCache>
                <c:ptCount val="1"/>
                <c:pt idx="0">
                  <c:v>IN</c:v>
                </c:pt>
              </c:strCache>
            </c:strRef>
          </c:tx>
          <c:marker>
            <c:symbol val="square"/>
            <c:size val="6"/>
          </c:marker>
          <c:cat>
            <c:numRef>
              <c:f>Sheet1!$A$2:$A$22</c:f>
              <c:numCache>
                <c:formatCode>General</c:formatCode>
                <c:ptCount val="21"/>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numCache>
            </c:numRef>
          </c:cat>
          <c:val>
            <c:numRef>
              <c:f>Sheet1!$C$2:$C$22</c:f>
              <c:numCache>
                <c:formatCode>General</c:formatCode>
                <c:ptCount val="21"/>
                <c:pt idx="5">
                  <c:v>6.6</c:v>
                </c:pt>
                <c:pt idx="6">
                  <c:v>6</c:v>
                </c:pt>
                <c:pt idx="7">
                  <c:v>6.5</c:v>
                </c:pt>
                <c:pt idx="8">
                  <c:v>7.4</c:v>
                </c:pt>
                <c:pt idx="9">
                  <c:v>7.8</c:v>
                </c:pt>
                <c:pt idx="10">
                  <c:v>7.7</c:v>
                </c:pt>
                <c:pt idx="11">
                  <c:v>8.3000000000000007</c:v>
                </c:pt>
                <c:pt idx="12">
                  <c:v>8.1</c:v>
                </c:pt>
                <c:pt idx="13">
                  <c:v>8.4</c:v>
                </c:pt>
                <c:pt idx="14">
                  <c:v>9.6</c:v>
                </c:pt>
                <c:pt idx="15">
                  <c:v>9.3000000000000007</c:v>
                </c:pt>
                <c:pt idx="16">
                  <c:v>9.8000000000000007</c:v>
                </c:pt>
                <c:pt idx="17">
                  <c:v>10.199999999999999</c:v>
                </c:pt>
                <c:pt idx="18">
                  <c:v>10.9</c:v>
                </c:pt>
                <c:pt idx="19">
                  <c:v>11</c:v>
                </c:pt>
                <c:pt idx="20">
                  <c:v>10.7</c:v>
                </c:pt>
              </c:numCache>
            </c:numRef>
          </c:val>
          <c:smooth val="0"/>
        </c:ser>
        <c:ser>
          <c:idx val="2"/>
          <c:order val="2"/>
          <c:tx>
            <c:strRef>
              <c:f>Sheet1!$D$1</c:f>
              <c:strCache>
                <c:ptCount val="1"/>
                <c:pt idx="0">
                  <c:v>US</c:v>
                </c:pt>
              </c:strCache>
            </c:strRef>
          </c:tx>
          <c:cat>
            <c:numRef>
              <c:f>Sheet1!$A$2:$A$22</c:f>
              <c:numCache>
                <c:formatCode>General</c:formatCode>
                <c:ptCount val="21"/>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numCache>
            </c:numRef>
          </c:cat>
          <c:val>
            <c:numRef>
              <c:f>Sheet1!$D$2:$D$22</c:f>
              <c:numCache>
                <c:formatCode>General</c:formatCode>
                <c:ptCount val="21"/>
                <c:pt idx="0">
                  <c:v>4.2</c:v>
                </c:pt>
                <c:pt idx="1">
                  <c:v>4.4000000000000004</c:v>
                </c:pt>
                <c:pt idx="2">
                  <c:v>4.5</c:v>
                </c:pt>
                <c:pt idx="3">
                  <c:v>4.7</c:v>
                </c:pt>
                <c:pt idx="4">
                  <c:v>5.4</c:v>
                </c:pt>
                <c:pt idx="5">
                  <c:v>5.6</c:v>
                </c:pt>
                <c:pt idx="6">
                  <c:v>6.2</c:v>
                </c:pt>
                <c:pt idx="7">
                  <c:v>6.6</c:v>
                </c:pt>
                <c:pt idx="8">
                  <c:v>6.8</c:v>
                </c:pt>
                <c:pt idx="9">
                  <c:v>7.2</c:v>
                </c:pt>
                <c:pt idx="10">
                  <c:v>7.1</c:v>
                </c:pt>
                <c:pt idx="11">
                  <c:v>7.5</c:v>
                </c:pt>
                <c:pt idx="12">
                  <c:v>7.6</c:v>
                </c:pt>
                <c:pt idx="13">
                  <c:v>8.1</c:v>
                </c:pt>
                <c:pt idx="14">
                  <c:v>8.1999999999999993</c:v>
                </c:pt>
                <c:pt idx="15">
                  <c:v>8.4</c:v>
                </c:pt>
                <c:pt idx="16">
                  <c:v>8.6999999999999993</c:v>
                </c:pt>
                <c:pt idx="17">
                  <c:v>9.5</c:v>
                </c:pt>
                <c:pt idx="18">
                  <c:v>9.6999999999999993</c:v>
                </c:pt>
                <c:pt idx="19">
                  <c:v>9.8000000000000007</c:v>
                </c:pt>
                <c:pt idx="20">
                  <c:v>10</c:v>
                </c:pt>
              </c:numCache>
            </c:numRef>
          </c:val>
          <c:smooth val="0"/>
        </c:ser>
        <c:dLbls>
          <c:showLegendKey val="0"/>
          <c:showVal val="0"/>
          <c:showCatName val="0"/>
          <c:showSerName val="0"/>
          <c:showPercent val="0"/>
          <c:showBubbleSize val="0"/>
        </c:dLbls>
        <c:marker val="1"/>
        <c:smooth val="0"/>
        <c:axId val="48967680"/>
        <c:axId val="48969216"/>
      </c:lineChart>
      <c:catAx>
        <c:axId val="48967680"/>
        <c:scaling>
          <c:orientation val="minMax"/>
        </c:scaling>
        <c:delete val="0"/>
        <c:axPos val="b"/>
        <c:numFmt formatCode="General" sourceLinked="1"/>
        <c:majorTickMark val="out"/>
        <c:minorTickMark val="none"/>
        <c:tickLblPos val="nextTo"/>
        <c:crossAx val="48969216"/>
        <c:crosses val="autoZero"/>
        <c:auto val="1"/>
        <c:lblAlgn val="ctr"/>
        <c:lblOffset val="100"/>
        <c:noMultiLvlLbl val="0"/>
      </c:catAx>
      <c:valAx>
        <c:axId val="48969216"/>
        <c:scaling>
          <c:orientation val="minMax"/>
        </c:scaling>
        <c:delete val="0"/>
        <c:axPos val="l"/>
        <c:majorGridlines/>
        <c:title>
          <c:tx>
            <c:rich>
              <a:bodyPr rot="-5400000" vert="horz"/>
              <a:lstStyle/>
              <a:p>
                <a:pPr>
                  <a:defRPr/>
                </a:pPr>
                <a:r>
                  <a:rPr lang="en-US"/>
                  <a:t>Percent</a:t>
                </a:r>
                <a:r>
                  <a:rPr lang="en-US" baseline="0"/>
                  <a:t> of Population</a:t>
                </a:r>
                <a:endParaRPr lang="en-US"/>
              </a:p>
            </c:rich>
          </c:tx>
          <c:layout/>
          <c:overlay val="0"/>
        </c:title>
        <c:numFmt formatCode="General" sourceLinked="1"/>
        <c:majorTickMark val="out"/>
        <c:minorTickMark val="none"/>
        <c:tickLblPos val="nextTo"/>
        <c:crossAx val="48967680"/>
        <c:crosses val="autoZero"/>
        <c:crossBetween val="between"/>
      </c:valAx>
      <c:spPr>
        <a:ln w="6350">
          <a:solidFill>
            <a:schemeClr val="tx1"/>
          </a:solidFill>
        </a:ln>
      </c:spPr>
    </c:plotArea>
    <c:legend>
      <c:legendPos val="r"/>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Marion</a:t>
            </a:r>
            <a:r>
              <a:rPr lang="en-US" sz="1400" baseline="0"/>
              <a:t> County Diabetes Prevalence, BRFSS 2003-2014</a:t>
            </a:r>
          </a:p>
          <a:p>
            <a:pPr>
              <a:defRPr/>
            </a:pPr>
            <a:r>
              <a:rPr lang="en-US" sz="1200" b="0" baseline="0"/>
              <a:t>with 95% Confidence Interval</a:t>
            </a:r>
            <a:endParaRPr lang="en-US" sz="1200" b="0"/>
          </a:p>
        </c:rich>
      </c:tx>
      <c:layout/>
      <c:overlay val="0"/>
    </c:title>
    <c:autoTitleDeleted val="0"/>
    <c:plotArea>
      <c:layout/>
      <c:lineChart>
        <c:grouping val="standard"/>
        <c:varyColors val="0"/>
        <c:ser>
          <c:idx val="0"/>
          <c:order val="0"/>
          <c:tx>
            <c:strRef>
              <c:f>Sheet1!$B$1</c:f>
              <c:strCache>
                <c:ptCount val="1"/>
                <c:pt idx="0">
                  <c:v>Prevalence</c:v>
                </c:pt>
              </c:strCache>
            </c:strRef>
          </c:tx>
          <c:errBars>
            <c:errDir val="y"/>
            <c:errBarType val="both"/>
            <c:errValType val="cust"/>
            <c:noEndCap val="0"/>
            <c:plus>
              <c:numRef>
                <c:f>Sheet1!$E$2:$E$13</c:f>
                <c:numCache>
                  <c:formatCode>General</c:formatCode>
                  <c:ptCount val="12"/>
                  <c:pt idx="0">
                    <c:v>2.2999999999999998</c:v>
                  </c:pt>
                  <c:pt idx="1">
                    <c:v>1.8</c:v>
                  </c:pt>
                  <c:pt idx="2">
                    <c:v>2.1</c:v>
                  </c:pt>
                  <c:pt idx="3">
                    <c:v>1.6</c:v>
                  </c:pt>
                  <c:pt idx="4">
                    <c:v>2</c:v>
                  </c:pt>
                  <c:pt idx="5">
                    <c:v>2.5</c:v>
                  </c:pt>
                  <c:pt idx="6">
                    <c:v>1.9</c:v>
                  </c:pt>
                  <c:pt idx="7">
                    <c:v>2.7</c:v>
                  </c:pt>
                  <c:pt idx="8">
                    <c:v>2</c:v>
                  </c:pt>
                  <c:pt idx="9">
                    <c:v>2.6</c:v>
                  </c:pt>
                  <c:pt idx="10">
                    <c:v>2</c:v>
                  </c:pt>
                  <c:pt idx="11">
                    <c:v>1.7</c:v>
                  </c:pt>
                </c:numCache>
              </c:numRef>
            </c:plus>
            <c:minus>
              <c:numRef>
                <c:f>Sheet1!$D$2:$D$13</c:f>
                <c:numCache>
                  <c:formatCode>General</c:formatCode>
                  <c:ptCount val="12"/>
                  <c:pt idx="0">
                    <c:v>2.2000000000000002</c:v>
                  </c:pt>
                  <c:pt idx="1">
                    <c:v>1.9</c:v>
                  </c:pt>
                  <c:pt idx="2">
                    <c:v>2.2000000000000002</c:v>
                  </c:pt>
                  <c:pt idx="3">
                    <c:v>1.6</c:v>
                  </c:pt>
                  <c:pt idx="4">
                    <c:v>2</c:v>
                  </c:pt>
                  <c:pt idx="5">
                    <c:v>2.4</c:v>
                  </c:pt>
                  <c:pt idx="6">
                    <c:v>1.9</c:v>
                  </c:pt>
                  <c:pt idx="7">
                    <c:v>2.6</c:v>
                  </c:pt>
                  <c:pt idx="8">
                    <c:v>1.9</c:v>
                  </c:pt>
                  <c:pt idx="9">
                    <c:v>2.6</c:v>
                  </c:pt>
                  <c:pt idx="10">
                    <c:v>2</c:v>
                  </c:pt>
                  <c:pt idx="11">
                    <c:v>1.6</c:v>
                  </c:pt>
                </c:numCache>
              </c:numRef>
            </c:minus>
          </c:errBars>
          <c:cat>
            <c:numRef>
              <c:f>Sheet1!$A$2:$A$13</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Sheet1!$B$2:$B$13</c:f>
              <c:numCache>
                <c:formatCode>General</c:formatCode>
                <c:ptCount val="12"/>
                <c:pt idx="0">
                  <c:v>8.6</c:v>
                </c:pt>
                <c:pt idx="1">
                  <c:v>7.8</c:v>
                </c:pt>
                <c:pt idx="2">
                  <c:v>8.3000000000000007</c:v>
                </c:pt>
                <c:pt idx="3">
                  <c:v>8.5</c:v>
                </c:pt>
                <c:pt idx="4">
                  <c:v>8.6</c:v>
                </c:pt>
                <c:pt idx="5">
                  <c:v>10</c:v>
                </c:pt>
                <c:pt idx="6">
                  <c:v>10</c:v>
                </c:pt>
                <c:pt idx="7">
                  <c:v>11.2</c:v>
                </c:pt>
                <c:pt idx="8">
                  <c:v>10.199999999999999</c:v>
                </c:pt>
                <c:pt idx="9">
                  <c:v>11.1</c:v>
                </c:pt>
                <c:pt idx="10">
                  <c:v>10.6</c:v>
                </c:pt>
                <c:pt idx="11">
                  <c:v>9.8000000000000007</c:v>
                </c:pt>
              </c:numCache>
            </c:numRef>
          </c:val>
          <c:smooth val="0"/>
        </c:ser>
        <c:dLbls>
          <c:showLegendKey val="0"/>
          <c:showVal val="0"/>
          <c:showCatName val="0"/>
          <c:showSerName val="0"/>
          <c:showPercent val="0"/>
          <c:showBubbleSize val="0"/>
        </c:dLbls>
        <c:marker val="1"/>
        <c:smooth val="0"/>
        <c:axId val="87495808"/>
        <c:axId val="50397184"/>
      </c:lineChart>
      <c:catAx>
        <c:axId val="87495808"/>
        <c:scaling>
          <c:orientation val="minMax"/>
        </c:scaling>
        <c:delete val="0"/>
        <c:axPos val="b"/>
        <c:numFmt formatCode="General" sourceLinked="1"/>
        <c:majorTickMark val="out"/>
        <c:minorTickMark val="none"/>
        <c:tickLblPos val="nextTo"/>
        <c:crossAx val="50397184"/>
        <c:crosses val="autoZero"/>
        <c:auto val="1"/>
        <c:lblAlgn val="ctr"/>
        <c:lblOffset val="100"/>
        <c:noMultiLvlLbl val="0"/>
      </c:catAx>
      <c:valAx>
        <c:axId val="50397184"/>
        <c:scaling>
          <c:orientation val="minMax"/>
        </c:scaling>
        <c:delete val="0"/>
        <c:axPos val="l"/>
        <c:majorGridlines/>
        <c:title>
          <c:tx>
            <c:rich>
              <a:bodyPr rot="-5400000" vert="horz"/>
              <a:lstStyle/>
              <a:p>
                <a:pPr>
                  <a:defRPr/>
                </a:pPr>
                <a:r>
                  <a:rPr lang="en-US"/>
                  <a:t>Percent</a:t>
                </a:r>
                <a:r>
                  <a:rPr lang="en-US" baseline="0"/>
                  <a:t> of Population</a:t>
                </a:r>
                <a:endParaRPr lang="en-US"/>
              </a:p>
            </c:rich>
          </c:tx>
          <c:layout/>
          <c:overlay val="0"/>
        </c:title>
        <c:numFmt formatCode="General" sourceLinked="1"/>
        <c:majorTickMark val="out"/>
        <c:minorTickMark val="none"/>
        <c:tickLblPos val="nextTo"/>
        <c:crossAx val="87495808"/>
        <c:crosses val="autoZero"/>
        <c:crossBetween val="between"/>
      </c:valAx>
      <c:spPr>
        <a:noFill/>
        <a:ln>
          <a:solidFill>
            <a:schemeClr val="tx1"/>
          </a:solidFill>
        </a:ln>
      </c:spPr>
    </c:plotArea>
    <c:legend>
      <c:legendPos val="r"/>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a:t>Marion County Diabetes Hospitalizations</a:t>
            </a:r>
            <a:r>
              <a:rPr lang="en-US" sz="1300" baseline="0"/>
              <a:t> and Lower-Limb Amputations: 2008-2013</a:t>
            </a:r>
            <a:endParaRPr lang="en-US" sz="1300"/>
          </a:p>
        </c:rich>
      </c:tx>
      <c:layout/>
      <c:overlay val="0"/>
    </c:title>
    <c:autoTitleDeleted val="0"/>
    <c:plotArea>
      <c:layout/>
      <c:lineChart>
        <c:grouping val="standard"/>
        <c:varyColors val="0"/>
        <c:ser>
          <c:idx val="0"/>
          <c:order val="0"/>
          <c:tx>
            <c:strRef>
              <c:f>Sheet1!$B$1</c:f>
              <c:strCache>
                <c:ptCount val="1"/>
                <c:pt idx="0">
                  <c:v>Diabetes Hospitalizations</c:v>
                </c:pt>
              </c:strCache>
            </c:strRef>
          </c:tx>
          <c:dLbls>
            <c:dLblPos val="b"/>
            <c:showLegendKey val="0"/>
            <c:showVal val="1"/>
            <c:showCatName val="0"/>
            <c:showSerName val="0"/>
            <c:showPercent val="0"/>
            <c:showBubbleSize val="0"/>
            <c:showLeaderLines val="0"/>
          </c:dLbls>
          <c:cat>
            <c:numRef>
              <c:f>Sheet1!$A$2:$A$7</c:f>
              <c:numCache>
                <c:formatCode>General</c:formatCode>
                <c:ptCount val="6"/>
                <c:pt idx="0">
                  <c:v>2008</c:v>
                </c:pt>
                <c:pt idx="1">
                  <c:v>2009</c:v>
                </c:pt>
                <c:pt idx="2">
                  <c:v>2010</c:v>
                </c:pt>
                <c:pt idx="3">
                  <c:v>2011</c:v>
                </c:pt>
                <c:pt idx="4">
                  <c:v>2012</c:v>
                </c:pt>
                <c:pt idx="5">
                  <c:v>2013</c:v>
                </c:pt>
              </c:numCache>
            </c:numRef>
          </c:cat>
          <c:val>
            <c:numRef>
              <c:f>Sheet1!$B$2:$B$7</c:f>
              <c:numCache>
                <c:formatCode>General</c:formatCode>
                <c:ptCount val="6"/>
                <c:pt idx="0">
                  <c:v>195.6</c:v>
                </c:pt>
                <c:pt idx="1">
                  <c:v>208</c:v>
                </c:pt>
                <c:pt idx="2">
                  <c:v>202.8</c:v>
                </c:pt>
                <c:pt idx="3">
                  <c:v>205.4</c:v>
                </c:pt>
                <c:pt idx="4">
                  <c:v>215.7</c:v>
                </c:pt>
                <c:pt idx="5">
                  <c:v>214</c:v>
                </c:pt>
              </c:numCache>
            </c:numRef>
          </c:val>
          <c:smooth val="0"/>
        </c:ser>
        <c:ser>
          <c:idx val="1"/>
          <c:order val="1"/>
          <c:tx>
            <c:strRef>
              <c:f>Sheet1!$C$1</c:f>
              <c:strCache>
                <c:ptCount val="1"/>
                <c:pt idx="0">
                  <c:v>Amputations</c:v>
                </c:pt>
              </c:strCache>
            </c:strRef>
          </c:tx>
          <c:dLbls>
            <c:dLblPos val="t"/>
            <c:showLegendKey val="0"/>
            <c:showVal val="1"/>
            <c:showCatName val="0"/>
            <c:showSerName val="0"/>
            <c:showPercent val="0"/>
            <c:showBubbleSize val="0"/>
            <c:showLeaderLines val="0"/>
          </c:dLbls>
          <c:cat>
            <c:numRef>
              <c:f>Sheet1!$A$2:$A$7</c:f>
              <c:numCache>
                <c:formatCode>General</c:formatCode>
                <c:ptCount val="6"/>
                <c:pt idx="0">
                  <c:v>2008</c:v>
                </c:pt>
                <c:pt idx="1">
                  <c:v>2009</c:v>
                </c:pt>
                <c:pt idx="2">
                  <c:v>2010</c:v>
                </c:pt>
                <c:pt idx="3">
                  <c:v>2011</c:v>
                </c:pt>
                <c:pt idx="4">
                  <c:v>2012</c:v>
                </c:pt>
                <c:pt idx="5">
                  <c:v>2013</c:v>
                </c:pt>
              </c:numCache>
            </c:numRef>
          </c:cat>
          <c:val>
            <c:numRef>
              <c:f>Sheet1!$C$2:$C$7</c:f>
              <c:numCache>
                <c:formatCode>General</c:formatCode>
                <c:ptCount val="6"/>
                <c:pt idx="0">
                  <c:v>34.4</c:v>
                </c:pt>
                <c:pt idx="1">
                  <c:v>36</c:v>
                </c:pt>
                <c:pt idx="2">
                  <c:v>33.9</c:v>
                </c:pt>
                <c:pt idx="3">
                  <c:v>35.5</c:v>
                </c:pt>
                <c:pt idx="4">
                  <c:v>34.700000000000003</c:v>
                </c:pt>
                <c:pt idx="5">
                  <c:v>38.1</c:v>
                </c:pt>
              </c:numCache>
            </c:numRef>
          </c:val>
          <c:smooth val="0"/>
        </c:ser>
        <c:dLbls>
          <c:showLegendKey val="0"/>
          <c:showVal val="0"/>
          <c:showCatName val="0"/>
          <c:showSerName val="0"/>
          <c:showPercent val="0"/>
          <c:showBubbleSize val="0"/>
        </c:dLbls>
        <c:marker val="1"/>
        <c:smooth val="0"/>
        <c:axId val="50448640"/>
        <c:axId val="50454528"/>
      </c:lineChart>
      <c:catAx>
        <c:axId val="50448640"/>
        <c:scaling>
          <c:orientation val="minMax"/>
        </c:scaling>
        <c:delete val="0"/>
        <c:axPos val="b"/>
        <c:numFmt formatCode="General" sourceLinked="1"/>
        <c:majorTickMark val="out"/>
        <c:minorTickMark val="none"/>
        <c:tickLblPos val="nextTo"/>
        <c:crossAx val="50454528"/>
        <c:crosses val="autoZero"/>
        <c:auto val="1"/>
        <c:lblAlgn val="ctr"/>
        <c:lblOffset val="100"/>
        <c:noMultiLvlLbl val="0"/>
      </c:catAx>
      <c:valAx>
        <c:axId val="50454528"/>
        <c:scaling>
          <c:orientation val="minMax"/>
        </c:scaling>
        <c:delete val="0"/>
        <c:axPos val="l"/>
        <c:majorGridlines/>
        <c:title>
          <c:tx>
            <c:rich>
              <a:bodyPr rot="-5400000" vert="horz"/>
              <a:lstStyle/>
              <a:p>
                <a:pPr>
                  <a:defRPr/>
                </a:pPr>
                <a:r>
                  <a:rPr lang="en-US"/>
                  <a:t>per</a:t>
                </a:r>
                <a:r>
                  <a:rPr lang="en-US" baseline="0"/>
                  <a:t> 100,000 Population</a:t>
                </a:r>
                <a:endParaRPr lang="en-US"/>
              </a:p>
            </c:rich>
          </c:tx>
          <c:layout/>
          <c:overlay val="0"/>
        </c:title>
        <c:numFmt formatCode="General" sourceLinked="1"/>
        <c:majorTickMark val="out"/>
        <c:minorTickMark val="none"/>
        <c:tickLblPos val="nextTo"/>
        <c:crossAx val="50448640"/>
        <c:crosses val="autoZero"/>
        <c:crossBetween val="between"/>
      </c:valAx>
      <c:spPr>
        <a:noFill/>
        <a:ln>
          <a:solidFill>
            <a:schemeClr val="tx1"/>
          </a:solidFill>
        </a:ln>
      </c:spPr>
    </c:plotArea>
    <c:legend>
      <c:legendPos val="b"/>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Marion</a:t>
            </a:r>
            <a:r>
              <a:rPr lang="en-US" sz="1600" baseline="0"/>
              <a:t> County Diabetes-related Hospitalization and Lower-limb Amputations:2013</a:t>
            </a:r>
            <a:endParaRPr lang="en-US" sz="1600"/>
          </a:p>
        </c:rich>
      </c:tx>
      <c:layout/>
      <c:overlay val="0"/>
    </c:title>
    <c:autoTitleDeleted val="0"/>
    <c:plotArea>
      <c:layout/>
      <c:barChart>
        <c:barDir val="col"/>
        <c:grouping val="clustered"/>
        <c:varyColors val="0"/>
        <c:ser>
          <c:idx val="0"/>
          <c:order val="0"/>
          <c:tx>
            <c:strRef>
              <c:f>Sheet1!$B$1</c:f>
              <c:strCache>
                <c:ptCount val="1"/>
                <c:pt idx="0">
                  <c:v>African American</c:v>
                </c:pt>
              </c:strCache>
            </c:strRef>
          </c:tx>
          <c:invertIfNegative val="0"/>
          <c:dLbls>
            <c:showLegendKey val="0"/>
            <c:showVal val="1"/>
            <c:showCatName val="0"/>
            <c:showSerName val="0"/>
            <c:showPercent val="0"/>
            <c:showBubbleSize val="0"/>
            <c:showLeaderLines val="0"/>
          </c:dLbls>
          <c:cat>
            <c:strRef>
              <c:f>Sheet1!$A$2:$A$3</c:f>
              <c:strCache>
                <c:ptCount val="2"/>
                <c:pt idx="0">
                  <c:v>Diabetes hospitalizations</c:v>
                </c:pt>
                <c:pt idx="1">
                  <c:v>Lower-limb amputations</c:v>
                </c:pt>
              </c:strCache>
            </c:strRef>
          </c:cat>
          <c:val>
            <c:numRef>
              <c:f>Sheet1!$B$2:$B$3</c:f>
              <c:numCache>
                <c:formatCode>General</c:formatCode>
                <c:ptCount val="2"/>
                <c:pt idx="0">
                  <c:v>268.89999999999998</c:v>
                </c:pt>
                <c:pt idx="1">
                  <c:v>51</c:v>
                </c:pt>
              </c:numCache>
            </c:numRef>
          </c:val>
        </c:ser>
        <c:ser>
          <c:idx val="1"/>
          <c:order val="1"/>
          <c:tx>
            <c:strRef>
              <c:f>Sheet1!$C$1</c:f>
              <c:strCache>
                <c:ptCount val="1"/>
                <c:pt idx="0">
                  <c:v>White</c:v>
                </c:pt>
              </c:strCache>
            </c:strRef>
          </c:tx>
          <c:invertIfNegative val="0"/>
          <c:dLbls>
            <c:showLegendKey val="0"/>
            <c:showVal val="1"/>
            <c:showCatName val="0"/>
            <c:showSerName val="0"/>
            <c:showPercent val="0"/>
            <c:showBubbleSize val="0"/>
            <c:showLeaderLines val="0"/>
          </c:dLbls>
          <c:cat>
            <c:strRef>
              <c:f>Sheet1!$A$2:$A$3</c:f>
              <c:strCache>
                <c:ptCount val="2"/>
                <c:pt idx="0">
                  <c:v>Diabetes hospitalizations</c:v>
                </c:pt>
                <c:pt idx="1">
                  <c:v>Lower-limb amputations</c:v>
                </c:pt>
              </c:strCache>
            </c:strRef>
          </c:cat>
          <c:val>
            <c:numRef>
              <c:f>Sheet1!$C$2:$C$3</c:f>
              <c:numCache>
                <c:formatCode>General</c:formatCode>
                <c:ptCount val="2"/>
                <c:pt idx="0">
                  <c:v>182.3</c:v>
                </c:pt>
                <c:pt idx="1">
                  <c:v>34.700000000000003</c:v>
                </c:pt>
              </c:numCache>
            </c:numRef>
          </c:val>
        </c:ser>
        <c:dLbls>
          <c:showLegendKey val="0"/>
          <c:showVal val="0"/>
          <c:showCatName val="0"/>
          <c:showSerName val="0"/>
          <c:showPercent val="0"/>
          <c:showBubbleSize val="0"/>
        </c:dLbls>
        <c:gapWidth val="150"/>
        <c:axId val="48183168"/>
        <c:axId val="48184704"/>
      </c:barChart>
      <c:catAx>
        <c:axId val="48183168"/>
        <c:scaling>
          <c:orientation val="minMax"/>
        </c:scaling>
        <c:delete val="0"/>
        <c:axPos val="b"/>
        <c:majorTickMark val="out"/>
        <c:minorTickMark val="none"/>
        <c:tickLblPos val="nextTo"/>
        <c:crossAx val="48184704"/>
        <c:crosses val="autoZero"/>
        <c:auto val="1"/>
        <c:lblAlgn val="ctr"/>
        <c:lblOffset val="100"/>
        <c:noMultiLvlLbl val="0"/>
      </c:catAx>
      <c:valAx>
        <c:axId val="48184704"/>
        <c:scaling>
          <c:orientation val="minMax"/>
        </c:scaling>
        <c:delete val="0"/>
        <c:axPos val="l"/>
        <c:majorGridlines/>
        <c:title>
          <c:tx>
            <c:rich>
              <a:bodyPr rot="-5400000" vert="horz"/>
              <a:lstStyle/>
              <a:p>
                <a:pPr>
                  <a:defRPr/>
                </a:pPr>
                <a:r>
                  <a:rPr lang="en-US"/>
                  <a:t>Rate</a:t>
                </a:r>
                <a:r>
                  <a:rPr lang="en-US" baseline="0"/>
                  <a:t> per 100,000</a:t>
                </a:r>
                <a:endParaRPr lang="en-US"/>
              </a:p>
            </c:rich>
          </c:tx>
          <c:layout/>
          <c:overlay val="0"/>
        </c:title>
        <c:numFmt formatCode="General" sourceLinked="1"/>
        <c:majorTickMark val="out"/>
        <c:minorTickMark val="none"/>
        <c:tickLblPos val="nextTo"/>
        <c:crossAx val="48183168"/>
        <c:crosses val="autoZero"/>
        <c:crossBetween val="between"/>
      </c:valAx>
    </c:plotArea>
    <c:legend>
      <c:legendPos val="r"/>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0.67708</cdr:x>
      <cdr:y>0.13393</cdr:y>
    </cdr:from>
    <cdr:to>
      <cdr:x>0.67708</cdr:x>
      <cdr:y>0.8631</cdr:y>
    </cdr:to>
    <cdr:cxnSp macro="">
      <cdr:nvCxnSpPr>
        <cdr:cNvPr id="3" name="Straight Connector 2"/>
        <cdr:cNvCxnSpPr/>
      </cdr:nvCxnSpPr>
      <cdr:spPr>
        <a:xfrm xmlns:a="http://schemas.openxmlformats.org/drawingml/2006/main" flipH="1">
          <a:off x="3714726" y="428625"/>
          <a:ext cx="24" cy="2333639"/>
        </a:xfrm>
        <a:prstGeom xmlns:a="http://schemas.openxmlformats.org/drawingml/2006/main" prst="line">
          <a:avLst/>
        </a:prstGeom>
        <a:ln xmlns:a="http://schemas.openxmlformats.org/drawingml/2006/main">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0.58681</cdr:x>
      <cdr:y>0.20833</cdr:y>
    </cdr:from>
    <cdr:to>
      <cdr:x>0.58681</cdr:x>
      <cdr:y>0.90178</cdr:y>
    </cdr:to>
    <cdr:cxnSp macro="">
      <cdr:nvCxnSpPr>
        <cdr:cNvPr id="2" name="Straight Connector 1"/>
        <cdr:cNvCxnSpPr/>
      </cdr:nvCxnSpPr>
      <cdr:spPr>
        <a:xfrm xmlns:a="http://schemas.openxmlformats.org/drawingml/2006/main">
          <a:off x="3219450" y="666750"/>
          <a:ext cx="21" cy="2219313"/>
        </a:xfrm>
        <a:prstGeom xmlns:a="http://schemas.openxmlformats.org/drawingml/2006/main" prst="line">
          <a:avLst/>
        </a:prstGeom>
        <a:ln xmlns:a="http://schemas.openxmlformats.org/drawingml/2006/main" w="12700">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DR2851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1E9145-C344-41E1-B7B4-9ED371D5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12</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Diabetes Facts for Marion County</vt:lpstr>
    </vt:vector>
  </TitlesOfParts>
  <Company>Marion County Public Health Department</Company>
  <LinksUpToDate>false</LinksUpToDate>
  <CharactersWithSpaces>12659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 Facts for Marion County</dc:title>
  <dc:subject>Apil 2016</dc:subject>
  <dc:creator>David Broyles, MPH</dc:creator>
  <cp:lastModifiedBy>David Broyles</cp:lastModifiedBy>
  <cp:revision>17</cp:revision>
  <cp:lastPrinted>2016-06-16T19:10:00Z</cp:lastPrinted>
  <dcterms:created xsi:type="dcterms:W3CDTF">2016-06-23T18:31:00Z</dcterms:created>
  <dcterms:modified xsi:type="dcterms:W3CDTF">2016-06-24T18:24:00Z</dcterms:modified>
</cp:coreProperties>
</file>